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2021091700734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51614708-7 TELLEZ  BOHADA ANA OREALIX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51614708-7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AEREOPUERTO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VENTA AMBULANTE SEGUN RESOLUCION 200.043 DEL 17/09/2021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2021091700734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51614708-7 TELLEZ  BOHADA ANA OREALIX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51614708-7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AEREOPUERTO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VENTA AMBULANTE SEGUN RESOLUCION 200.043 DEL 17/09/2021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