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$14.222.050,00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$4.677.950,00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$18.003.398,00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$7.796.583,00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GENERAL-LIBRE DESTINACION MUNICIPIOS CATEGORIAS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$8.274.498,00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$583.050,00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$13.057.583,00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PERIODO COMPRENDIDO ENTRE 1-ENE-2020 AL 31-DIC-2021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