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$11.523.193,26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$188.023,86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$676.853,47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$12.388.070,59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100.04.074 DE MARZO 17 DE 2020 - RECURSOS SIN SITUACIÓN DE FONDOS MES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