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w:t>
      </w:r>
      <w:r w:rsidR="0079532C" w:rsidRPr="007039F5">
        <w:rPr>
          <w:rFonts w:ascii="Arial" w:hAnsi="Arial" w:cs="Arial"/>
          <w:sz w:val="20"/>
          <w:u w:val="single"/>
        </w:rPr>
        <w:t xml:space="preserve">de </w:t>
      </w:r>
      <w:r w:rsidR="002B69AC" w:rsidRPr="007039F5">
        <w:rPr>
          <w:rFonts w:ascii="Arial" w:hAnsi="Arial" w:cs="Arial"/>
          <w:sz w:val="20"/>
          <w:u w:val="single"/>
        </w:rPr>
        <w:t xml:space="preserve"> de  del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SISOFT SOLUCIONES INFORMATICAS S.A.S</w:t>
      </w:r>
      <w:r w:rsidRPr="003A56BB">
        <w:rPr>
          <w:rFonts w:ascii="Arial" w:hAnsi="Arial" w:cs="Arial"/>
          <w:b w:val="0"/>
          <w:color w:val="000000"/>
          <w:sz w:val="20"/>
        </w:rPr>
        <w:t xml:space="preserve">, con </w:t>
      </w:r>
      <w:r w:rsidR="00B40786" w:rsidRPr="003A56BB">
        <w:rPr>
          <w:rFonts w:ascii="Arial" w:hAnsi="Arial" w:cs="Arial"/>
          <w:b w:val="0"/>
          <w:color w:val="000000"/>
          <w:sz w:val="20"/>
        </w:rPr>
        <w:t>NIT</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900364032-2.</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SISOFT SOLUCIONES INFORMATICAS S.A.S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900364032-2</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30 # 28 - 69</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$2.292.859</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2018</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GABRIEL FERNANDO HOYOS VEGA</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74849197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30 # 28 - 69</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2018</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2016</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$1.382.000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$528.000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$319.000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$2.229.000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$2.229.000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GABRIEL FERNANDO HOYOS VEGA</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
      </w:r>
      <w:r w:rsidRPr="003A56BB">
        <w:rPr>
          <w:rFonts w:ascii="Arial" w:hAnsi="Arial" w:cs="Arial"/>
          <w:sz w:val="20"/>
          <w:szCs w:val="24"/>
        </w:rPr>
        <w:t xml:space="preserve"> de fecha de </w:t>
      </w:r>
      <w:r w:rsidR="002B69AC" w:rsidRPr="003A56BB">
        <w:rPr>
          <w:rFonts w:ascii="Arial" w:hAnsi="Arial" w:cs="Arial"/>
          <w:sz w:val="20"/>
          <w:szCs w:val="24"/>
        </w:rPr>
        <w:t>28 de Mayo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Seiscientos Sesenta y Ocho Mil Setecientos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$668.700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Seiscientos Sesenta y Ocho Mil Setecientos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$668.700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0088583</w:t>
      </w:r>
      <w:r w:rsidRPr="003A56BB">
        <w:rPr>
          <w:rFonts w:cs="Arial"/>
          <w:b w:val="0"/>
          <w:sz w:val="20"/>
          <w:szCs w:val="24"/>
        </w:rPr>
        <w:t xml:space="preserve"> presentada el </w:t>
      </w:r>
      <w:r w:rsidR="002B69AC" w:rsidRPr="003A56BB">
        <w:rPr>
          <w:rFonts w:cs="Arial"/>
          <w:b w:val="0"/>
          <w:sz w:val="20"/>
          <w:szCs w:val="24"/>
        </w:rPr>
        <w:t>23 de Mayo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Dos Millones Doscientos Noventa y Dos Mil Ochocientos Cincuenta y Nueve  PESOS M/CTE</w:t>
      </w:r>
      <w:r w:rsidRPr="003A56BB">
        <w:rPr>
          <w:rFonts w:cs="Arial"/>
          <w:b w:val="0"/>
          <w:color w:val="000000"/>
          <w:sz w:val="20"/>
          <w:szCs w:val="24"/>
        </w:rPr>
        <w:t xml:space="preserve"> </w:t>
      </w:r>
      <w:r w:rsidR="002B69AC" w:rsidRPr="003A56BB">
        <w:rPr>
          <w:rFonts w:cs="Arial"/>
          <w:b w:val="0"/>
          <w:color w:val="000000"/>
          <w:sz w:val="20"/>
          <w:szCs w:val="24"/>
        </w:rPr>
        <w:t>($2.292.859</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Un Millón Seiscientos Veinticuatro Mil Ciento Cincuenta y Nueve  PESOS M/CTE</w:t>
      </w:r>
      <w:r w:rsidRPr="003A56BB">
        <w:rPr>
          <w:rFonts w:cs="Arial"/>
          <w:b w:val="0"/>
          <w:color w:val="000000"/>
          <w:sz w:val="20"/>
          <w:szCs w:val="24"/>
        </w:rPr>
        <w:t xml:space="preserve"> (</w:t>
      </w:r>
      <w:r w:rsidR="002B69AC" w:rsidRPr="003A56BB">
        <w:rPr>
          <w:rFonts w:cs="Arial"/>
          <w:b w:val="0"/>
          <w:color w:val="000000"/>
          <w:sz w:val="20"/>
          <w:szCs w:val="24"/>
        </w:rPr>
        <w:t>$1.624.159</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Tres  </w:t>
      </w:r>
      <w:r w:rsidR="00383CCE" w:rsidRPr="003A56BB">
        <w:rPr>
          <w:rFonts w:cs="Arial"/>
          <w:b w:val="0"/>
          <w:color w:val="000000"/>
          <w:sz w:val="20"/>
          <w:szCs w:val="24"/>
        </w:rPr>
        <w:t>(</w:t>
      </w:r>
      <w:r w:rsidR="00B66F06" w:rsidRPr="003A56BB">
        <w:rPr>
          <w:rFonts w:cs="Arial"/>
          <w:b w:val="0"/>
          <w:color w:val="000000"/>
          <w:sz w:val="20"/>
          <w:szCs w:val="24"/>
        </w:rPr>
        <w:t>3</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GABRIEL FERNANDO HOYOS VEGA</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74849197</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Dos Millones Doscientos Noventa y Dos Mil Ochocientos Cincuenta y Nueve  PESOS M/CTE ($2.292.859)</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0088583</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23 de Mayo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Seiscientos Sesenta y Ocho Mil Setecientos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(668.700)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GABRIEL FERNANDO HOYOS VEGA,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Tres  3</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Un Millón Seiscientos Veinticuatro Mil Ciento Cincuenta y Nueve  PESOS M/CTE ($1.624.159)</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Tres  </w:t>
      </w:r>
      <w:r w:rsidR="00210A2A" w:rsidRPr="003A56BB">
        <w:rPr>
          <w:rFonts w:ascii="Arial" w:hAnsi="Arial" w:cs="Arial"/>
          <w:color w:val="000000"/>
          <w:sz w:val="20"/>
          <w:szCs w:val="24"/>
        </w:rPr>
        <w:t>(</w:t>
      </w:r>
      <w:r w:rsidR="00581CCD" w:rsidRPr="003A56BB">
        <w:rPr>
          <w:rFonts w:ascii="Arial" w:hAnsi="Arial" w:cs="Arial"/>
          <w:color w:val="000000"/>
          <w:sz w:val="20"/>
          <w:szCs w:val="24"/>
        </w:rPr>
        <w:t>3</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2018-05-28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$573.000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$95.700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$668.700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2018-06-28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$445.667</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$74.434</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$31.928</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$552.029</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2018-07-27</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$445.667</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$74.434</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$21.285</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$541.386</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2018-08-28</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$445.667</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$74.434</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$10.643</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$530.744</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$1.910.001</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$319.002</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$63.856</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$2.292.859</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 () días del mes de  de Dos mil  ()</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GABRIEL FERNANDO HOYOS VEGA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74849197</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GABRIEL FERNANDO HOYOS VEGA</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undefined</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undefined</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