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2022042900386</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24191288-1 DENISSE DUARTE ACOSTA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2022042900386</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2022-05-02</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PRESTACION DE SERVICIOS PROFESIONALES </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CPS</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40 -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0073</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2022-01-28</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2-33-ISSP/2.3.2.02.02.009.190503500.2021181250002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1.2.4.2.02</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SGP-SALUD-SALUD PUBLICA</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3.100.000,00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PRESTACIÓN DE SERVICIOS PROFESIONALES No 110.10.01.0074 DEL 2022-01-28 - PRESTAR SERVICIOS PROFESIONALES DE APOYO EN LA PLANEACION PROYECCIÓN DEL PLAN DE ACCIÓN EN SALUD Y COMPONENTE OPERATIVO ANUAL DE INVERSIONES, PLAN DE INTERVENCIONES COLECTIVAS 2022 EN SU ETAPA DE PLANEACION, EN LA ACTUALIZACIÓN DEL DOCUMENTO DE ANÁLISIS DE LA SITUACIÓN EN SALUD (ASIS) AÑO 2021, EN EL SEGUIMIENTO Y MONITOREO DEL PLAN TERRITORIAL DE SALUD PTS.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55021800001 GASTOS DE PERSONAL SALUD</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3.100.000,00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3.069.000,00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3.100.000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31.000,00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3.100.000,00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3.100.000,00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31.000,00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3.069.000,00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