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2022-04-21</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2-46-ISGT/2.3.2.02.02.008.450302300.2021851250008</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1.3.3.3.05</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PRESTADOS A LAS EMPRESAS Y SERVICIOS DE PRODUCCION</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R,B. SUBVENCIONES</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$100.000.000,00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2-46-ISGT/2.3.2.02.02.008.450302300.2021851250008</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1.3.3.6.03</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PRESTADOS A LAS EMPRESAS Y SERVICIOS DE PRODUCCIÓN</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R.B. SGP - PROPÓSITO GENERAL - PROPÓSITO GENERAL LIBRE INVERSIÓN</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$140.000.000,00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$240.000.000,00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REALIZAR ESTUDIOS Y DISEÑOS PARA EL MANTENIMIENTO Y OBRAS DE PROTECCIÓN DEL PUENTE SOBRE EL RIO ARIPORO, VEREDA LA CHAPA, EN CUMPLIMIENTO DE LA MEDIDA CAUTELAR EMITIDA POR EL TRIBUNAL ADMINISTRATIVO MEDIANTE AUTO DEL 28 DE NOVIEMBRE DE 2020, ACCIÓN POPULAR 850012333000-2019-00161-00 EN EL MUNICIPIO DE HATO COROZAL,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0153</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