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$1.368.225,65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$2.669.661,45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$24.477,61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$15.545,38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$4.077.910,09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100.04.073 DE MARZO 16 DE 2020 - RECURSOS SIN SITUACIÓN DE FONDOS MES ENERO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