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1166102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HUGO MARTINEZ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010000040004001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0802000000930723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20233000012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$112.500,00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$51.700,00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$200.000,00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HUGO MARTINEZ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1166102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