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HUGO FERNANDO MARTINEZ CISNEROS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79548040-5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2021-06-15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2021-01-25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TRANSPORTE DE LOS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$1.544.501,00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$1.544.501,00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AUXILIO DE TRANSPORTE A LOS HONORABLES CONCEJALES VIGENCIA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RESOLUCION NO 10004166. PAGO TRANSPORTE CONCEJALES SESIONES ORDINARIAS MAYO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0306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2021-06-15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