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13644169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JAIRO MANRIQUE PARRA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000100060136000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0802000001030723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13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19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20233000002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19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3 - 4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$398.400,00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$58.400,00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$70.400,00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$10.200,00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$537.400,00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JAIRO MANRIQUE PARRA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13644169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