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04022 </w:t>
      </w:r>
      <w:r w:rsidR="0079532C" w:rsidRPr="007039F5">
        <w:rPr>
          <w:rFonts w:ascii="Arial" w:hAnsi="Arial" w:cs="Arial"/>
          <w:sz w:val="20"/>
          <w:u w:val="single"/>
        </w:rPr>
        <w:t xml:space="preserve">de </w:t>
      </w:r>
      <w:r w:rsidR="002B69AC" w:rsidRPr="007039F5">
        <w:rPr>
          <w:rFonts w:ascii="Arial" w:hAnsi="Arial" w:cs="Arial"/>
          <w:sz w:val="20"/>
          <w:u w:val="single"/>
        </w:rPr>
        <w:t xml:space="preserve">13 de Septiembre del 2016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HECTOR ENRIQUE DIAZ SANABRIA</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93377495.</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HECTOR ENRIQUE DIAZ SANABRIA</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93377495</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CL 13 27 80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$6.744.015</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2011</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HECTOR ENRIQUE DIAZ SANABRIA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93377495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CL 13 27 80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2011</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2011</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$826.000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$644.000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$215.000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$2.661.000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$2.398.000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$6.744.000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$6.744.000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HECTOR ENRIQUE DIAZ SANABRIA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078615047</w:t>
      </w:r>
      <w:r w:rsidRPr="003A56BB">
        <w:rPr>
          <w:rFonts w:ascii="Arial" w:hAnsi="Arial" w:cs="Arial"/>
          <w:sz w:val="20"/>
          <w:szCs w:val="24"/>
        </w:rPr>
        <w:t xml:space="preserve"> de fecha de </w:t>
      </w:r>
      <w:r w:rsidR="002B69AC" w:rsidRPr="003A56BB">
        <w:rPr>
          <w:rFonts w:ascii="Arial" w:hAnsi="Arial" w:cs="Arial"/>
          <w:sz w:val="20"/>
          <w:szCs w:val="24"/>
        </w:rPr>
        <w:t>09 de Septiembre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BANCOLOMBIA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Dos Millones Veintitres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$2.023.200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Dos Millones Veintitres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$2.023.200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0011592</w:t>
      </w:r>
      <w:r w:rsidRPr="003A56BB">
        <w:rPr>
          <w:rFonts w:cs="Arial"/>
          <w:b w:val="0"/>
          <w:sz w:val="20"/>
          <w:szCs w:val="24"/>
        </w:rPr>
        <w:t xml:space="preserve"> presentada el </w:t>
      </w:r>
      <w:r w:rsidR="002B69AC" w:rsidRPr="003A56BB">
        <w:rPr>
          <w:rFonts w:cs="Arial"/>
          <w:b w:val="0"/>
          <w:sz w:val="20"/>
          <w:szCs w:val="24"/>
        </w:rPr>
        <w:t>30 de Marzo del 2012</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Seis Millones Setecientos Cuarenta y Cuatro Mil Quince  PESOS M/CTE</w:t>
      </w:r>
      <w:r w:rsidRPr="003A56BB">
        <w:rPr>
          <w:rFonts w:cs="Arial"/>
          <w:b w:val="0"/>
          <w:color w:val="000000"/>
          <w:sz w:val="20"/>
          <w:szCs w:val="24"/>
        </w:rPr>
        <w:t xml:space="preserve"> </w:t>
      </w:r>
      <w:r w:rsidR="002B69AC" w:rsidRPr="003A56BB">
        <w:rPr>
          <w:rFonts w:cs="Arial"/>
          <w:b w:val="0"/>
          <w:color w:val="000000"/>
          <w:sz w:val="20"/>
          <w:szCs w:val="24"/>
        </w:rPr>
        <w:t>($6.744.015</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Cuatro Millones Setecientos Veinte Mil Ochocientos Quince  PESOS M/CTE</w:t>
      </w:r>
      <w:r w:rsidRPr="003A56BB">
        <w:rPr>
          <w:rFonts w:cs="Arial"/>
          <w:b w:val="0"/>
          <w:color w:val="000000"/>
          <w:sz w:val="20"/>
          <w:szCs w:val="24"/>
        </w:rPr>
        <w:t xml:space="preserve"> (</w:t>
      </w:r>
      <w:r w:rsidR="002B69AC" w:rsidRPr="003A56BB">
        <w:rPr>
          <w:rFonts w:cs="Arial"/>
          <w:b w:val="0"/>
          <w:color w:val="000000"/>
          <w:sz w:val="20"/>
          <w:szCs w:val="24"/>
        </w:rPr>
        <w:t>$4.720.815</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Once  </w:t>
      </w:r>
      <w:r w:rsidR="00383CCE" w:rsidRPr="003A56BB">
        <w:rPr>
          <w:rFonts w:cs="Arial"/>
          <w:b w:val="0"/>
          <w:color w:val="000000"/>
          <w:sz w:val="20"/>
          <w:szCs w:val="24"/>
        </w:rPr>
        <w:t>(</w:t>
      </w:r>
      <w:r w:rsidR="00B66F06" w:rsidRPr="003A56BB">
        <w:rPr>
          <w:rFonts w:cs="Arial"/>
          <w:b w:val="0"/>
          <w:color w:val="000000"/>
          <w:sz w:val="20"/>
          <w:szCs w:val="24"/>
        </w:rPr>
        <w:t>11</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HECTOR ENRIQUE DIAZ SANABRIA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93377495</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Seis Millones Setecientos Cuarenta y Cuatro Mil Quince  PESOS M/CTE ($6.744.015)</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0011592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30 de Marzo del 2012</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Dos Millones Veintitres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(2.023.200)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HECTOR ENRIQUE DIAZ SANABRIA,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Once  11</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Cuatro Millones Setecientos Veinte Mil Ochocientos Quince  PESOS M/CTE ($4.720.815)</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Once  </w:t>
      </w:r>
      <w:r w:rsidR="00210A2A" w:rsidRPr="003A56BB">
        <w:rPr>
          <w:rFonts w:ascii="Arial" w:hAnsi="Arial" w:cs="Arial"/>
          <w:color w:val="000000"/>
          <w:sz w:val="20"/>
          <w:szCs w:val="24"/>
        </w:rPr>
        <w:t>(</w:t>
      </w:r>
      <w:r w:rsidR="00581CCD" w:rsidRPr="003A56BB">
        <w:rPr>
          <w:rFonts w:ascii="Arial" w:hAnsi="Arial" w:cs="Arial"/>
          <w:color w:val="000000"/>
          <w:sz w:val="20"/>
          <w:szCs w:val="24"/>
        </w:rPr>
        <w:t>11</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2018-09-09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$505.500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$798.300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$719.400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$2.023.200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2016-10-09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2016-11-09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2016-12-09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2017-01-09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2017-02-09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2017-03-09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2017-04-09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2017-05-09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2017-06-09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2017-07-09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2017-08-09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$107.228</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$169.337</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$152.600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$429.165</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$1.685.008</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$2.661.007</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$2.398.000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$6.744.015</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Trece (13) días del mes de Septiembre de Dos mil Dieciséis (2016)</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HECTOR ENRIQUE DIAZ SANABRIA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93377495</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HECTOR ENRIQUE DIAZ SANABRIA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