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$2.896.898,21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$5.652.384,50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$51.825,61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$32.913,72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$8.634.022,04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MARZO 16 DE 2020 - RECURSOS SIN SITUACIÓN DE FONDOS MES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