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2019-02-26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INDEMNIZACIÓN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$4.560.102,00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$2.711.412,00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$4.560.102,00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$1.848.690,00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$4.560.102,00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VACACIONES (27 DE ENERO DE 2018 AL 31 DE ENERO DE 2019) INDEMNIZACIÓN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00122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