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ORLANDO SANDOVAL VEGA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1081354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2019-06-27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NOMINA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2019-01-08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NOMINA SERVIDORES PUBLICOS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00002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21311101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SUELDOS DE PERSONAL DE NOMINA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$1.425.900,00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$555.632.176,00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SALARIO MES JUNIO DE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00666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2019-06-27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