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2021-06-24 15:13:02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$1.039.946.338,66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$795.228.288,55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$44.444.944,00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$305.202.974,33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$16.039.980,22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PIRAGUATA PEREZ CARLOS SILVERI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$305.202.974,33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$44.444.944,00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