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2022-09-30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2022-10-14 18:03:34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$195.074.915,40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$224.477.552,30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$67.206.514,94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2021-12-10 - CE  2021121001524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MAYOR VALOR RETENIDO EN PAGO DE ACTA PARCIAL 01 FACTURA FVE40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900094981-8 FUNDACION EL REPIQUE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$5.812.510,00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2022-01-21 - NC  2022032300197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IMPUESTOS MUNICIPALES C.P.S.  No.800.09.01.007  DE 14/01/2022 consignado erradamente a la 19-2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1006559823-8 ERDER FARID NUCOBES FERNANDEZ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2022-02-14 - NC  2022040600283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A DIFERENTE CUENTA ESTAMPILLA PRO-ADULTO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2022-03-28 - NC  2022042000361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ES CULTURA 19-2 Y SE PAGO 57-2 PROADULTO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7366506-1 YOFRE BRITO RIVERA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2022-05-16 - NC  2022051600465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PROCULTURA SIENDO PRODEPORTE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HOLDER PARRA GIRON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$92.905,22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$67.206.514,94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