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2022080100795  / RESOLUCIÓN NO 100.04.364 DE JULIO 28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