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$1.258.863,00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$1.258.863,00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100.04.657 DE OCTUBRE 10 DE 2022 - PAGO DE VIÁTICOS Y GASTOS DE TRANSPORTE FUNCIONARIOS ADMINISTRACIÓN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100.04.657 DE OCTUBRE 10 DE 2022 - PAGO DE VIÁTICOS Y GASTOS DE TRANSPORTE FUNCIONARIOS ADMINISTRACIÓN MUNICIPAL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