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GENERAL Y DE GOBIERNO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2021-07-06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21311108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360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BONIFICACIÓN POR RECREACIÓN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42 POR CIENTO RECURSOS LIBRE DESTINACION SGP PROPOSITO GENERAL MPIOS DE CATEGORIA 4 5 Y 6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$8.429.267,00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$154.121,00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21311113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PRIMA DE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$23.764.575,00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$1.235.425,00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21311114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101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INDEMNIZACION POR VACACIONES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SUPERAVIT INGRESOS CORRIENTES DE LIBRE DESTINACION EXCEPTO EL 42% DE LIBRE DESTINACION DE PROPOSITO GENERAL DE MUNICIPIOS DE CATEGORÍA 4, 5 Y 6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$28.188.043,00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$1.811.957,00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$3.201.503,00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LIQUIDACIÓN DE VACACIONES E INDEMNIZACIÓN DE UN PERIODO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0172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