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2022070700896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2022070700665  / RESOLUCIÓN NO 100.04.328 DE JULIO 05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