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2019-07-30</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2019</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221319</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280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CONSTRUCCION DE POZOS PROFUNDOS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AGUA POTABLE Y SANEAMIENTO BASICO - SALDOS NO EJECUTADOS VIGENCIAS ANTERIORES Y REINTEGROS</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$278.000.000,00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$278.000.000,00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$278.000.000,00</w:t>
                  </w:r>
                </w:p>
              </w:tc>
            </w:tr>
          </w:tbl>
          <w:p w14:paraId="3EB0CCDD" w14:textId="64522548"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PERFORACIÓN Y CONSTRUCCIÓN DE UN POZO PROFUNDO CON SISTEMA DE TRATAMIENTO, ALMACENAMIENTO Y RED DE DISTRIBUCIÓN PARA LA CAPTACIÓN DE AGUA SUBTERRÁNEA EN PREDIO COMUNITARIO DE LA INSTITUCIÓN EDUCATIVA LUIS HERNANDEZ VARGAS SEDE LA NUBES VEREDA LA MARAURE DEL MUNICIPIO DE HATO COROZAL,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4C88E4E9"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77777777" w:rsidR="009D1F61" w:rsidRDefault="009D1F61" w:rsidP="009D1F61">
      <w:pPr>
        <w:tabs>
          <w:tab w:val="left" w:pos="5660"/>
        </w:tabs>
        <w:jc w:val="center"/>
        <w:rPr>
          <w:rFonts w:ascii="Arial" w:hAnsi="Arial" w:cs="Arial"/>
          <w:sz w:val="18"/>
          <w:szCs w:val="18"/>
        </w:rPr>
      </w:pPr>
    </w:p>
    <w:p w14:paraId="73566E29" w14:textId="77777777" w:rsidR="009D1F61" w:rsidRDefault="009D1F61" w:rsidP="009D1F61">
      <w:pPr>
        <w:tabs>
          <w:tab w:val="left" w:pos="5660"/>
        </w:tabs>
        <w:jc w:val="center"/>
        <w:rPr>
          <w:rFonts w:ascii="Arial" w:hAnsi="Arial" w:cs="Arial"/>
          <w:sz w:val="18"/>
          <w:szCs w:val="18"/>
        </w:rPr>
      </w:pPr>
    </w:p>
    <w:p w14:paraId="55CD1D58" w14:textId="77777777" w:rsidR="009D1F61" w:rsidRDefault="009D1F61" w:rsidP="009D1F61">
      <w:pPr>
        <w:tabs>
          <w:tab w:val="left" w:pos="5660"/>
        </w:tabs>
        <w:jc w:val="center"/>
        <w:rPr>
          <w:rFonts w:ascii="Arial" w:hAnsi="Arial" w:cs="Arial"/>
          <w:sz w:val="18"/>
          <w:szCs w:val="18"/>
        </w:rPr>
      </w:pPr>
    </w:p>
    <w:p w14:paraId="38EB9BF3" w14:textId="77777777" w:rsidR="009D1F61" w:rsidRDefault="009D1F61" w:rsidP="009D1F61">
      <w:pPr>
        <w:tabs>
          <w:tab w:val="left" w:pos="5660"/>
        </w:tabs>
        <w:jc w:val="center"/>
        <w:rPr>
          <w:rFonts w:ascii="Arial" w:hAnsi="Arial" w:cs="Arial"/>
          <w:sz w:val="18"/>
          <w:szCs w:val="18"/>
        </w:rPr>
      </w:pPr>
    </w:p>
    <w:p w14:paraId="41CA9118" w14:textId="77777777" w:rsidR="009D1F61" w:rsidRDefault="009D1F61" w:rsidP="009D1F61">
      <w:pPr>
        <w:tabs>
          <w:tab w:val="left" w:pos="5660"/>
        </w:tabs>
        <w:jc w:val="center"/>
        <w:rPr>
          <w:rFonts w:ascii="Arial" w:hAnsi="Arial" w:cs="Arial"/>
          <w:sz w:val="18"/>
          <w:szCs w:val="18"/>
        </w:rPr>
      </w:pPr>
    </w:p>
    <w:p w14:paraId="01C7C4C7"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 xml:space="preserve">PARMENIO GOMEZ </w:t>
      </w:r>
      <w:proofErr w:type="spellStart"/>
      <w:r>
        <w:rPr>
          <w:rFonts w:ascii="Arial" w:hAnsi="Arial" w:cs="Arial"/>
          <w:sz w:val="18"/>
          <w:szCs w:val="18"/>
        </w:rPr>
        <w:t>GOMEZ</w:t>
      </w:r>
      <w:proofErr w:type="spellEnd"/>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p>
    <w:sectPr w:rsidR="009D1F61" w:rsidRPr="00B94C9D" w:rsidSect="002C2FF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614D" w14:textId="77777777" w:rsidR="00AE14A4" w:rsidRDefault="00AE14A4" w:rsidP="00CF0BF3">
      <w:r>
        <w:separator/>
      </w:r>
    </w:p>
  </w:endnote>
  <w:endnote w:type="continuationSeparator" w:id="0">
    <w:p w14:paraId="5712383F" w14:textId="77777777" w:rsidR="00AE14A4" w:rsidRDefault="00AE14A4"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7F2B" w14:textId="77777777" w:rsidR="00D2290A" w:rsidRDefault="00D2290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bookmarkStart w:id="0" w:name="_GoBack"/>
          <w:r>
            <w:rPr>
              <w:rFonts w:ascii="Arial" w:hAnsi="Arial" w:cs="Arial"/>
              <w:i/>
              <w:iCs/>
              <w:sz w:val="16"/>
              <w:szCs w:val="16"/>
              <w:lang w:val="pt-BR"/>
            </w:rPr>
            <w:t xml:space="preserve"> </w:t>
          </w:r>
          <w:proofErr w:type="spellStart"/>
          <w:r w:rsidR="00526A45">
            <w:rPr>
              <w:rFonts w:ascii="Arial" w:hAnsi="Arial" w:cs="Arial"/>
              <w:i/>
              <w:iCs/>
              <w:sz w:val="16"/>
              <w:szCs w:val="16"/>
              <w:lang w:val="pt-BR"/>
            </w:rPr>
            <w:t>Calle</w:t>
          </w:r>
          <w:proofErr w:type="spellEnd"/>
          <w:r w:rsidR="00526A45">
            <w:rPr>
              <w:rFonts w:ascii="Arial" w:hAnsi="Arial" w:cs="Arial"/>
              <w:i/>
              <w:iCs/>
              <w:sz w:val="16"/>
              <w:szCs w:val="16"/>
              <w:lang w:val="pt-BR"/>
            </w:rPr>
            <w:t xml:space="preserve"> 12 No. 8-13, </w:t>
          </w:r>
          <w:proofErr w:type="spellStart"/>
          <w:r w:rsidR="00526A45">
            <w:rPr>
              <w:rFonts w:ascii="Arial" w:hAnsi="Arial" w:cs="Arial"/>
              <w:i/>
              <w:iCs/>
              <w:sz w:val="16"/>
              <w:szCs w:val="16"/>
              <w:lang w:val="pt-BR"/>
            </w:rPr>
            <w:t>Conmutador</w:t>
          </w:r>
          <w:proofErr w:type="spellEnd"/>
          <w:r w:rsidR="00526A45">
            <w:rPr>
              <w:rFonts w:ascii="Arial" w:hAnsi="Arial" w:cs="Arial"/>
              <w:i/>
              <w:iCs/>
              <w:sz w:val="16"/>
              <w:szCs w:val="16"/>
              <w:lang w:val="pt-BR"/>
            </w:rPr>
            <w:t xml:space="preserve"> 6378066 – Fax 6378214 </w:t>
          </w:r>
          <w:proofErr w:type="spellStart"/>
          <w:r w:rsidR="00526A45">
            <w:rPr>
              <w:rFonts w:ascii="Arial" w:hAnsi="Arial" w:cs="Arial"/>
              <w:i/>
              <w:iCs/>
              <w:sz w:val="16"/>
              <w:szCs w:val="16"/>
              <w:lang w:val="pt-BR"/>
            </w:rPr>
            <w:t>Palacio</w:t>
          </w:r>
          <w:proofErr w:type="spellEnd"/>
          <w:r w:rsidR="00526A45">
            <w:rPr>
              <w:rFonts w:ascii="Arial" w:hAnsi="Arial" w:cs="Arial"/>
              <w:i/>
              <w:iCs/>
              <w:sz w:val="16"/>
              <w:szCs w:val="16"/>
              <w:lang w:val="pt-BR"/>
            </w:rPr>
            <w:t xml:space="preserve">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bookmarkEnd w:id="0"/>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26A45">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26A45">
            <w:fldChar w:fldCharType="begin"/>
          </w:r>
          <w:r w:rsidR="00526A45">
            <w:instrText xml:space="preserve"> SECTIONPAGES  \* Arabic  \* MERGEFORMAT </w:instrText>
          </w:r>
          <w:r w:rsidR="00526A45">
            <w:fldChar w:fldCharType="separate"/>
          </w:r>
          <w:r w:rsidR="00526A45" w:rsidRPr="00526A45">
            <w:rPr>
              <w:rFonts w:ascii="Arial" w:hAnsi="Arial" w:cs="Arial"/>
              <w:i/>
              <w:iCs/>
              <w:noProof/>
              <w:sz w:val="18"/>
              <w:szCs w:val="18"/>
            </w:rPr>
            <w:t>1</w:t>
          </w:r>
          <w:r w:rsidR="00526A45">
            <w:rPr>
              <w:rFonts w:ascii="Arial" w:hAnsi="Arial" w:cs="Arial"/>
              <w:i/>
              <w:iCs/>
              <w:noProof/>
              <w:sz w:val="18"/>
              <w:szCs w:val="18"/>
            </w:rPr>
            <w:fldChar w:fldCharType="end"/>
          </w:r>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F6BE" w14:textId="77777777" w:rsidR="00D2290A" w:rsidRDefault="00D2290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4935" w14:textId="77777777" w:rsidR="00AE14A4" w:rsidRDefault="00AE14A4" w:rsidP="00CF0BF3">
      <w:r>
        <w:separator/>
      </w:r>
    </w:p>
  </w:footnote>
  <w:footnote w:type="continuationSeparator" w:id="0">
    <w:p w14:paraId="67059432" w14:textId="77777777" w:rsidR="00AE14A4" w:rsidRDefault="00AE14A4" w:rsidP="00CF0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6E8F" w14:textId="77777777" w:rsidR="00D2290A" w:rsidRDefault="00D2290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ES"/>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00243</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E76AF"/>
    <w:rsid w:val="002F2FB1"/>
    <w:rsid w:val="0030530C"/>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94C9D"/>
    <w:rsid w:val="00BC1F6D"/>
    <w:rsid w:val="00C01DBF"/>
    <w:rsid w:val="00C208F3"/>
    <w:rsid w:val="00C25135"/>
    <w:rsid w:val="00C2766B"/>
    <w:rsid w:val="00C85F24"/>
    <w:rsid w:val="00CA1097"/>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D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7DFA-9D92-8141-ADC2-3A3CC87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99</Words>
  <Characters>550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Sisoft Soluciones</cp:lastModifiedBy>
  <cp:revision>43</cp:revision>
  <dcterms:created xsi:type="dcterms:W3CDTF">2016-09-27T13:59:00Z</dcterms:created>
  <dcterms:modified xsi:type="dcterms:W3CDTF">2019-02-19T21:25:00Z</dcterms:modified>
</cp:coreProperties>
</file>