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DESARROLLO SOCIAL, INTEGRAL Y PRODUCTIVO</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2021-02-10</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2215117</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260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SALUD PÚBLICA</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SALUD ONCE DOCEAVAS VIGENCIA ACTUAL MAS ULTIMA DOCEAVA VIGENCIA ANTERIOR</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$64.024.603,20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$13.200.000,00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$13.200.000,00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PRESTAR LOS SERVICIOS TÉCNICOS DE APOYO PARA EL FORTALECIMIENTO DE LA GESTIÓN DE LA SALUD PUBLICA Y ASEGURAMIENTO DE LA POBLACIÓN DE LAS VEREDAS EL GUAFAL, PUERTO COLOMBIA, CAJARO, ALEMANIA, SANTA MARÍA, MIRAVALLE, SANTA BARBARA, MERECURES, EL CAFÉ, LA RESERVA, GIRASOLES, TIJERAS GUAYACANES, COROCITO, EL ZAMUCO, VILLA NUEVA, LA REFORMA, CORRALITO, BRILLANTE, CAÑALES, VILLA JULIA, (COSTAS DEL CASANARE) DEL MUNICIPIO DE HATO COROZAL -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0053</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