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$505.759,84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$1.017.068.552,00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100.04.180 DE JUNIO 27 DE 2019 - SIN SITUACIÓN DE FONDOS AL RÉGIMEN SUBSIDIADO MES JUNIO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00740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