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2022-08-12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2022-08-12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96122183-2 BENITEZ  NEIRA JARLITHON POMPIL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96122183-2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SMC-27-2022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MINI LIBRETA DE NOTAS  ARGOLLADA Y ESFERO CON EL SLOGAN DE LA ADMINISTRACIÓN MUNICIPAL Y CON EL SLOGAN LA JUVENTUD LIDERA -GENERACIÓN SIN MIEDO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GORRA EN DRYL  Con un bordado en el frente solidez del color al lavado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$2.046.000,00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Tres Millones Quinientos Cuarenta y Seis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$3.546.000,00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$3.546.000,00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2022081200016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2022081200016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EQUIVALENTE A FAC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EQUIVALENTE A FAC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