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$1.983.286,00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$237.994,00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$2.221.280,00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200.08.02.004 DE FEBRERO 13 DE 2020 - CESANTIAS E INTERESES DE LA SECRETARIA DEL CONCEJO MUNICIPAL VIGENCIA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