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Cuenta:11100600053 - 141-2 regim sub salud maestra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$4.571.829,55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$1.820,00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$1.820,00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$4.573.649,55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$560,00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BANCO AGRARIO DE COLOMBIA SA CLAUDIA GARAY - 800037800-8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$700,00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27/07/2021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2021</w:t>
                </w:r>
                <w:r w:rsidR="00051B24">
                  <w:t xml:space="preserve"> - </w:t>
                </w:r>
                <w:r w:rsidR="0064411A">
                  <w:t>Marzo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27/07/2021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15:01:07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canapren11@hotmail.com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