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TOVAR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$2.711.412,00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$1.848.690,00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$4.560.102,00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(27 DE ENERO DE 2018 AL 31 DE ENERO DE 2019) INDEMNIZACIÓN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00240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