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$156.991,00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$1.667.760,00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$1.667.760,00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01 DE JULIO DE 2019 AL 30 DE JUNIO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