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2021-07-08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2214113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FORMACIÓN, CAPACITACIÓN E INVESTIGACIÓN ARTÍSTICA Y CULTURAL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$36.000.000,00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FOMENTAR LA FORMACIÓN ARTÍSTICA Y CULTURAL DE ARPA LLANERA A TRAVÉS DE LA CASA DE LA CULTURA FELIX DELGADO DEL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0180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