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RAFAEL ANTONIO MARQUEZ MARTÍNEZ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1115850878-4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15 NO. 10-39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250.000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25.000.000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250.000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CINCUENTA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2022-03-31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