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2022090800913</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900225245-9 EMPRESAS PUBLICAS DE HATO COROZAL, ACUEDUCTO, ALCANTARILLADO, GAS Y ASEO EPHAC S.A E.S.P</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2022090800913</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2022-09-09</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CONVENIO INTERADMINISTRATIVO</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CONVENIO INTERADMINISTRATIVO</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40 -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0584</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2021-10-19</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2221202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290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ESTUDIOS Y DISEÑOS Y/U OPERACIÓN ACUEDUCTOS RURALES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 AGUA POTABLE Y SANEAMIENTO BASICO - ONCE DOCEAVAS VIGENCIA ACTUAL MAS ULTIMA DOCEAVA VIGENCIA ANTERIOR</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2.499.382,00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CONVENIO INTERADMINISTRATIVO No 110.10.07.165 DEL 19 DE OCTUBRE 2021 - PARA REALIZAR EL ESTUDIO DE COSTOS Y TARIFAS PARA EL SERVICIO DE ACUEDUCTO DEL CORREGIMIENTO DE LA CHAPA, DEL MUNICIPIO DE HATO COROZAL, DEPARTAMENTO DE CASANARE, EN LOS TÉRMINOS RESOLUCIONES CRA 825 DEL 2017, 834 DE 2018, 844 DE 2018 Y 881 DE 2019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55030600001 Asignaci¢n bienes y servicios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2.499.382,00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2.499.382,00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2.499.382,00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2.499.382,00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