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$602.569.164,67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$9.832.116,47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$35.393.924,63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$647.795.205,77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100.04.074 DE MARZO 17 DE 2020 - RECURSOS SIN SITUACIÓN DE FONDOS MES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