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2021-03-31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2021-04-19 16:10:05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