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$4.726.301,15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$5.756.074,26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$49.428,48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$574.610,52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$11.106.414,41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PARA LA ADMINISTRACIÓN DE LOS RECURSOS DEL RÉGIMEN SUBSIDIADO SOCIAL EN SALUD SEGÚN LIQUIDACIÓN MENSUAL ASIGNADA PARA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100.04.104 DE MAYO 12 DE 2020 - RECURSOS SIN SITUACIÓN DE FONDOS RÉGIMEN SUBSIDIADO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