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BONIFACIO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844004510-5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$17.108.994,00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$17.108.994,00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