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2020-05-19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$7.985.784,85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$9.725.738,85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$83.516,73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$970.889,47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$18.765.929,90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PARA LA ADMINISTRACIÓN DE LOS RECURSOS DEL RÉGIMEN SUBSIDIADO SOCIAL EN SALUD SEGÚN LIQUIDACIÓN MENSUAL ASIGNADA PARA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100.04.104 DE MAYO 12 DE 2020 - RECURSOS SIN SITUACIÓN DE FONDOS RÉGIMEN SUBSIDIADO MES MAYO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0276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2020-05-19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