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PARA LA SUPERACIÓN DE LA POBREZA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ADMINISTRATIVA PARA DARLE ALCANCE Y CUMPLIMIENTO AL PROGRAMA FAMILIAS EN ACCIÓN Y LOS PROGRAMAS DE TRANSFERENCIA MONETARIA Y RED UNIDOS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