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$4.612.840,31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$75.267,68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$270.950,68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$4.959.058,67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100.04.074 DE MARZO 17 DE 2020 - RECURSOS SIN SITUACIÓN DE FONDOS MES FEBRERO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