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2020-05-22 10:41:50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$4.127.152,00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$518.216,00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