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PIRABAN  GUTIERREZ ELMER EDILSO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1118648563-6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2021-02-16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ASISTENCIA INTEGRAL A LA INFANCIA LA ADOLESCENCIA Y LA JUVENTUD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$15.300.000,00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PROGRAMAS DISEÑADOS  PARA LA SUPERACIÓN DE LA POBREZA  EXTREMA EN EL MARCO DE LA RED UNIDOS - MAS FAMILIAS EN ACCIÓN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$17.400.000,00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110.10.01.0041 DEL 2021-02-17 - PRESTAR LOS SERVICIOS PROFESIONALES COMO REFERENTE DE LA PRIMERA INFANCIA, INFANCIA ADOLESCENCIA, JUVENTUD Y APOYO AL ENLACE DE FAMILIAS EN ACCIÓN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110.10.01.0041 DEL 2021-02-17 - PRESTAR LOS SERVICIOS PROFESIONALES COMO REFERENTE DE LA PRIMERA INFANCIA, INFANCIA ADOLESCENCIA, JUVENTUD Y APOYO AL ENLACE DE FAMILIAS EN ACCIÓN EN 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