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$52.519,28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100.04.081 DEL 18 DE MARZO DE 2019 - CORRESPONDIENTE AL MES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