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2020-06-12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SERVICIOS PÚBLICOS IE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$28.769.470,00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$1.068.500,00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$1.068.500,00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CORRESPONDIENTE AL MES DE MAYO 2020 DE LAS INSTITUCIONES EDUCATIVAS URBANAS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0140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