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SALAMANCA ALVAREZ LILIA ADRIANA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23588903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COMISARIO(A) DE FAMILIA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53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$315.880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$315.880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RODRIGUEZ CHAVITA GLORIA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1115851196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PSICÓLOGO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$740.088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$740.088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$1.055.968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$1.055.968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JULIO /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JULIO /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06/02/2023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06/02/2023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06/02/2023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16:02:05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06/02/2023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16:02:05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