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GOMEZ DENIZ ESTER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1118649003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130.650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1.525.148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