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2022052500504</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6965035-0 HOLDER PARRA GIRON</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2022052500504</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2022-06-01</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MINIMA CUANTIA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CONTRATO DE SUMINISTRO</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CTO DE SUMINISTRO</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33 - MINIMA CUANTIA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0256</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2022-04-21</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2022</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2-37-IAP/2.3.2.02.02.009.400302002.2021851250012</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1.2.4.6.00</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SERVICIOS PARA LA COMUNIDAD, SOCIALES Y PERSONALES</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SGP-AGUA POTABLE Y SANEAMIENTO BASICO</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13.994.400,00</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PROCESO DE SELECCIÓN DE MÍNIMA CUANTÍA No SMC-012-2022 CONTRATO DE SUMINISTRO No 0091 DE ABRIL 21 DE 2022 - SUMINISTRO DE TAPAS DE ALCANTARILLADO EN HIERRO FUNDIDO EN CONCRETO DE 3000 PSI, EN LA PARTE INTERNA DE LA TAPA, PARA POZOS DE ALCANTARILLADO EN EL MUNICIPIO DE HATO COROZAL, DEPARTAMENTO DE CASANARE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55070500014 Materiales y suministros</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13.994.400,00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24010100004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13.994.400,00</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13.994.400,00</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0,00</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0,00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13.994.400,00</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