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$8.737.450,37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$1.121.900,45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$48.952,34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$644.305,00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$10.552.608,16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100.04.075 DE MARZO 18 DE 2020 - RECURSOS SIN SITUACIÓN DE FONDOS MES MARZO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