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2022-01-25 16:36:28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11100600067 336-9 maestra sgp educacion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$374.265.806,04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$259.578.244,04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$114.687.562,00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$4.564.668,00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SAM 009 del 09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2021122902387  / PAGO PARCIAL CONTRATO DE OBRA PUBLICA NO 110.10.04.0176 DE 29 DE OCTUBRE DE 2021 - CONSTRUCCIÓN DE DOS (2) UNIDADES SANITARIAS SENCILLAS; EN LA INSTITUCIÓN EDUCATIVAS.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900547088-0 A &AMP; A INGENIERIA Y CONSTRUCCIONES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$48.882.525,00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$14.975.595,00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$2.495.048,00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2021123102425  / PAGO LIQUIDACION CONTRATO DE OBRA PUBLICA NO 110.10.04.0162 DE 14 DE OCTUBRE DE 2021 - CONSTRUCCIÓN DE UN (1) AULA ESCOLAR EN LA SEDE EDUCATIVA DIVINO NIÑO, VEREDA SANTA RITA.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901031732-4 MATTHEWS CONSTRUCCIONES CONSULTORIAS Y SUMINISTROS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$37.401.125,00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$114.687.562,00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