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lang w:val="es-ES_tradnl"/>
        </w:rPr>
      </w:pPr>
      <w:r>
        <w:rPr>
          <w:rFonts w:cs="Arial" w:ascii="Arial" w:hAnsi="Arial"/>
          <w:b/>
          <w:lang w:val="es-ES_tradnl"/>
        </w:rPr>
        <w:t>RESOLUCIÓN SANCION POR NO DECLARAR</w:t>
      </w:r>
    </w:p>
    <w:p>
      <w:pPr>
        <w:pStyle w:val="Normal"/>
        <w:spacing w:lineRule="auto" w:line="240" w:before="0" w:after="0"/>
        <w:jc w:val="center"/>
        <w:rPr>
          <w:rFonts w:ascii="Arial" w:hAnsi="Arial" w:cs="Arial"/>
          <w:b/>
          <w:b/>
          <w:lang w:val="es-ES_tradnl"/>
        </w:rPr>
      </w:pPr>
      <w:r>
        <w:rPr>
          <w:rFonts w:cs="Arial" w:ascii="Arial" w:hAnsi="Arial"/>
          <w:b/>
          <w:lang w:val="es-ES_tradnl"/>
        </w:rPr>
        <w:t xml:space="preserve">No. </w:t>
      </w:r>
      <w:r>
        <w:rPr>
          <w:rFonts w:cs="Arial" w:ascii="Arial" w:hAnsi="Arial"/>
          <w:b/>
          <w:i/>
          <w:sz w:val="18"/>
          <w:szCs w:val="18"/>
          <w:lang w:val="es-ES_tradnl"/>
        </w:rPr>
        <w:t>32454 de Fecha 29 de Agosto de 2024</w:t>
      </w:r>
    </w:p>
    <w:p>
      <w:pPr>
        <w:pStyle w:val="Normal"/>
        <w:spacing w:lineRule="auto" w:line="240" w:before="0" w:after="0"/>
        <w:jc w:val="both"/>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2345</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TULIO  RINCON MARCO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4162028</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2023</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calle 76 76 76</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ABRIAQUÍ, ANTIOQUIA</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6345995</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a@com.co</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Secretaria de Hacienda del Municipio de Aguazul (Casanare), en uso de sus atribuciones legales y especialmente las conferidas por los artículos 348, 350 y 352 del Estatuto de Rentas Municipal (Acuerdo 020 del 2016), y </w:t>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r>
    </w:p>
    <w:p>
      <w:pPr>
        <w:pStyle w:val="NormalWeb"/>
        <w:spacing w:beforeAutospacing="0" w:before="0" w:afterAutospacing="0" w:after="0"/>
        <w:jc w:val="center"/>
        <w:rPr>
          <w:rFonts w:ascii="Arial" w:hAnsi="Arial" w:cs="Arial"/>
          <w:bCs/>
          <w:sz w:val="22"/>
          <w:szCs w:val="22"/>
          <w:lang w:val="es-ES_tradnl"/>
        </w:rPr>
      </w:pPr>
      <w:r>
        <w:rPr>
          <w:rFonts w:cs="Arial" w:ascii="Arial" w:hAnsi="Arial"/>
          <w:b/>
          <w:bCs/>
          <w:sz w:val="22"/>
          <w:szCs w:val="22"/>
          <w:lang w:val="es-ES_tradnl"/>
        </w:rPr>
        <w:t>CONSIDERANDO QUE</w:t>
      </w:r>
      <w:r>
        <w:rPr>
          <w:rFonts w:cs="Arial" w:ascii="Arial" w:hAnsi="Arial"/>
          <w:bCs/>
          <w:sz w:val="22"/>
          <w:szCs w:val="22"/>
          <w:lang w:val="es-ES_tradnl"/>
        </w:rPr>
        <w:t>,</w:t>
      </w:r>
    </w:p>
    <w:p>
      <w:pPr>
        <w:pStyle w:val="NormalWeb"/>
        <w:spacing w:beforeAutospacing="0" w:before="0" w:afterAutospacing="0" w:after="0"/>
        <w:jc w:val="both"/>
        <w:rPr>
          <w:rFonts w:ascii="Arial" w:hAnsi="Arial" w:cs="Arial"/>
          <w:b/>
          <w:b/>
          <w:sz w:val="22"/>
          <w:szCs w:val="22"/>
          <w:lang w:val="es-ES_tradnl"/>
        </w:rPr>
      </w:pPr>
      <w:r>
        <w:rPr>
          <w:rFonts w:cs="Arial" w:ascii="Arial" w:hAnsi="Arial"/>
          <w:b/>
          <w:sz w:val="22"/>
          <w:szCs w:val="22"/>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En desarrollo del programa OMISOS ALUMBRADO PUBLICO, la Secretaría de Hacienda de Aguazul solicitó información, a las operadoras del sector hidrocarburos auto generadoras de energía establecidas en la jurisdicción territorial de Aguazul (Casanare).</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Una vez analizada la información remitida se encontró que la reportada generó energía para su propio uso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864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5"/>
        <w:gridCol w:w="1234"/>
        <w:gridCol w:w="1453"/>
        <w:gridCol w:w="1310"/>
        <w:gridCol w:w="1323"/>
        <w:gridCol w:w="1336"/>
      </w:tblGrid>
      <w:tr>
        <w:trPr>
          <w:trHeight w:val="273" w:hRule="atLeast"/>
        </w:trPr>
        <w:tc>
          <w:tcPr>
            <w:tcW w:w="1985" w:type="dxa"/>
            <w:tcBorders/>
          </w:tcPr>
          <w:p>
            <w:pPr>
              <w:pStyle w:val="Normal"/>
              <w:widowControl w:val="false"/>
              <w:suppressAutoHyphens w:val="true"/>
              <w:spacing w:before="0" w:after="200"/>
              <w:jc w:val="both"/>
              <w:rPr>
                <w:rFonts w:ascii="Arial Narrow" w:hAnsi="Arial Narrow" w:cs="Arial"/>
              </w:rPr>
            </w:pPr>
            <w:r>
              <w:rPr>
                <w:rFonts w:cs="Arial" w:ascii="Arial Narrow" w:hAnsi="Arial Narrow"/>
                <w:kern w:val="0"/>
                <w:sz w:val="22"/>
                <w:szCs w:val="22"/>
                <w:lang w:val="es-CO" w:eastAsia="en-US" w:bidi="ar-SA"/>
              </w:rPr>
              <w:t>Entidad que Reporta</w:t>
            </w:r>
          </w:p>
        </w:tc>
        <w:tc>
          <w:tcPr>
            <w:tcW w:w="1234"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Kilovatios Generados </w:t>
            </w:r>
          </w:p>
        </w:tc>
        <w:tc>
          <w:tcPr>
            <w:tcW w:w="145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Base Gravable Salarios Mínimos </w:t>
            </w:r>
          </w:p>
        </w:tc>
        <w:tc>
          <w:tcPr>
            <w:tcW w:w="1310"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Salario Mínimo Legal Vigente 2019</w:t>
            </w:r>
          </w:p>
        </w:tc>
        <w:tc>
          <w:tcPr>
            <w:tcW w:w="132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Tarifa en Salarios Mínimos</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Valor Impuesto</w:t>
            </w:r>
          </w:p>
        </w:tc>
      </w:tr>
      <w:tr>
        <w:trPr>
          <w:trHeight w:val="182" w:hRule="atLeast"/>
        </w:trPr>
        <w:tc>
          <w:tcPr>
            <w:tcW w:w="1985" w:type="dxa"/>
            <w:tcBorders/>
          </w:tcPr>
          <w:p>
            <w:pPr>
              <w:pStyle w:val="Normal"/>
              <w:widowControl w:val="false"/>
              <w:suppressAutoHyphens w:val="true"/>
              <w:spacing w:before="0" w:after="200"/>
              <w:jc w:val="both"/>
              <w:rPr>
                <w:highlight w:val="none"/>
                <w:shd w:fill="FFFF00" w:val="clear"/>
              </w:rPr>
            </w:pPr>
            <w:r>
              <w:rPr>
                <w:rFonts w:cs="Arial" w:ascii="Arial" w:hAnsi="Arial"/>
                <w:iCs/>
                <w:kern w:val="0"/>
                <w:sz w:val="20"/>
                <w:szCs w:val="20"/>
                <w:shd w:fill="FFFF00" w:val="clear"/>
                <w:lang w:val="es-CO" w:eastAsia="en-US" w:bidi="ar-SA"/>
              </w:rPr>
              <w:t>XXXXXXX XXXX</w:t>
            </w:r>
          </w:p>
        </w:tc>
        <w:tc>
          <w:tcPr>
            <w:tcW w:w="1234" w:type="dxa"/>
            <w:tcBorders/>
          </w:tcPr>
          <w:p>
            <w:pPr>
              <w:pStyle w:val="Normal"/>
              <w:widowControl w:val="false"/>
              <w:suppressAutoHyphens w:val="true"/>
              <w:spacing w:before="0" w:after="200"/>
              <w:jc w:val="center"/>
              <w:rPr>
                <w:highlight w:val="none"/>
                <w:shd w:fill="FFFF00" w:val="clear"/>
              </w:rPr>
            </w:pPr>
            <w:r>
              <w:rPr>
                <w:rFonts w:cs="Arial" w:ascii="Arial" w:hAnsi="Arial"/>
                <w:iCs/>
                <w:kern w:val="0"/>
                <w:sz w:val="20"/>
                <w:szCs w:val="20"/>
                <w:shd w:fill="FFFF00" w:val="clear"/>
                <w:lang w:val="es-CO" w:eastAsia="en-US" w:bidi="ar-SA"/>
              </w:rPr>
              <w:t xml:space="preserve">XXXXXXX </w:t>
            </w:r>
          </w:p>
        </w:tc>
        <w:tc>
          <w:tcPr>
            <w:tcW w:w="145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10" w:type="dxa"/>
            <w:tcBorders/>
          </w:tcPr>
          <w:p>
            <w:pPr>
              <w:pStyle w:val="Normal"/>
              <w:widowControl w:val="false"/>
              <w:suppressAutoHyphens w:val="true"/>
              <w:spacing w:before="0" w:after="200"/>
              <w:jc w:val="center"/>
              <w:rPr>
                <w:highlight w:val="none"/>
                <w:shd w:fill="FFFF00" w:val="clear"/>
              </w:rPr>
            </w:pPr>
            <w:r>
              <w:rPr>
                <w:color w:val="000000"/>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w:t>
            </w:r>
          </w:p>
          <w:p>
            <w:pPr>
              <w:pStyle w:val="Normal"/>
              <w:widowControl w:val="false"/>
              <w:suppressAutoHyphens w:val="true"/>
              <w:spacing w:before="0" w:after="200"/>
              <w:jc w:val="center"/>
              <w:rPr>
                <w:rFonts w:ascii="Arial Narrow" w:hAnsi="Arial Narrow" w:cs="Arial"/>
                <w:highlight w:val="none"/>
                <w:shd w:fill="FFFF00" w:val="clear"/>
              </w:rPr>
            </w:pPr>
            <w:r>
              <w:rPr>
                <w:rFonts w:cs="Arial" w:ascii="Arial Narrow" w:hAnsi="Arial Narrow"/>
                <w:shd w:fill="FFFF00" w:val="clear"/>
              </w:rPr>
            </w:r>
          </w:p>
        </w:tc>
        <w:tc>
          <w:tcPr>
            <w:tcW w:w="132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36"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XXXXXXX</w:t>
            </w:r>
          </w:p>
        </w:tc>
      </w:tr>
      <w:tr>
        <w:trPr>
          <w:trHeight w:val="136" w:hRule="atLeast"/>
        </w:trPr>
        <w:tc>
          <w:tcPr>
            <w:tcW w:w="7305" w:type="dxa"/>
            <w:gridSpan w:val="5"/>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TOTAL</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w:t>
            </w:r>
            <w:r>
              <w:rPr>
                <w:rFonts w:cs="Arial" w:ascii="Arial" w:hAnsi="Arial"/>
                <w:iCs/>
                <w:kern w:val="0"/>
                <w:sz w:val="20"/>
                <w:szCs w:val="20"/>
                <w:lang w:val="es-CO" w:eastAsia="en-US" w:bidi="ar-SA"/>
              </w:rPr>
              <w:t xml:space="preserve"> 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 xml:space="preserve">Para el NIT del contribuyente, la Secretaría de Hacienda estableció el calendario tributario del año </w:t>
      </w:r>
      <w:r>
        <w:rPr>
          <w:rFonts w:eastAsia="Calibri" w:cs="Arial" w:ascii="Arial" w:hAnsi="Arial" w:eastAsiaTheme="minorHAnsi"/>
          <w:iCs/>
          <w:color w:val="auto"/>
          <w:kern w:val="0"/>
          <w:sz w:val="22"/>
          <w:szCs w:val="22"/>
          <w:lang w:val="es-ES_tradnl" w:eastAsia="en-US" w:bidi="ar-SA"/>
        </w:rPr>
        <w:t>2023</w:t>
      </w:r>
      <w:r>
        <w:rPr>
          <w:rFonts w:cs="Arial" w:ascii="Arial" w:hAnsi="Arial"/>
          <w:lang w:val="es-ES_tradnl"/>
        </w:rPr>
        <w:t xml:space="preserve"> de la siguiente forma:</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67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70"/>
        <w:gridCol w:w="3447"/>
      </w:tblGrid>
      <w:tr>
        <w:trPr>
          <w:trHeight w:val="248" w:hRule="atLeast"/>
        </w:trPr>
        <w:tc>
          <w:tcPr>
            <w:tcW w:w="3270"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Resolución</w:t>
            </w:r>
          </w:p>
        </w:tc>
        <w:tc>
          <w:tcPr>
            <w:tcW w:w="3447"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Fecha de vencimiento</w:t>
            </w:r>
          </w:p>
        </w:tc>
      </w:tr>
      <w:tr>
        <w:trPr>
          <w:trHeight w:val="261" w:hRule="atLeast"/>
        </w:trPr>
        <w:tc>
          <w:tcPr>
            <w:tcW w:w="3270" w:type="dxa"/>
            <w:tcBorders/>
          </w:tcPr>
          <w:p>
            <w:pPr>
              <w:pStyle w:val="Normal"/>
              <w:widowControl w:val="false"/>
              <w:suppressAutoHyphens w:val="true"/>
              <w:spacing w:before="0" w:after="200"/>
              <w:jc w:val="center"/>
              <w:rPr>
                <w:rFonts w:ascii="Calibri" w:hAnsi="Calibri" w:eastAsia="Calibri"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c>
          <w:tcPr>
            <w:tcW w:w="3447" w:type="dxa"/>
            <w:tcBorders/>
          </w:tcPr>
          <w:p>
            <w:pPr>
              <w:pStyle w:val="Normal"/>
              <w:widowControl w:val="false"/>
              <w:suppressAutoHyphens w:val="true"/>
              <w:spacing w:before="0" w:after="200"/>
              <w:jc w:val="center"/>
              <w:rPr>
                <w:rFonts w:ascii="Calibri" w:hAnsi="Calibri" w:eastAsia="Calibri"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r>
    </w:tbl>
    <w:p>
      <w:pPr>
        <w:pStyle w:val="ListParagraph"/>
        <w:spacing w:lineRule="auto" w:line="240" w:before="0" w:after="0"/>
        <w:ind w:left="768"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A la investigada la Secretaría de Hacienda le expidió las siguientes actuaciones:</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8221"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842"/>
        <w:gridCol w:w="1984"/>
        <w:gridCol w:w="4395"/>
      </w:tblGrid>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Requerimiento de Información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Oficio Respuesta a Derecho de Petición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Emplazamiento para Declarar</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234545 </w:t>
            </w:r>
            <w:r>
              <w:rPr>
                <w:rFonts w:cs="Times New Roman" w:ascii="Arial Narrow" w:hAnsi="Arial Narrow"/>
                <w:kern w:val="0"/>
                <w:sz w:val="22"/>
                <w:szCs w:val="22"/>
                <w:lang w:val="es-ES_tradnl" w:eastAsia="en-US" w:bidi="ar-SA"/>
              </w:rPr>
              <w:t>del 29 de Agosto de 2024</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05 de Julio de 2024</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Correo</w:t>
            </w:r>
          </w:p>
        </w:tc>
      </w:tr>
    </w:tbl>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El investigado dio respuesta mediante los siguientes documentos:</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75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6"/>
        <w:gridCol w:w="1700"/>
        <w:gridCol w:w="2552"/>
      </w:tblGrid>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Requerimiento No.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Emplazamiento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Los argumentos expuestos por la administración no fueron desvirtuados por la investigada, motivo por el cual se profiere la presente actuación.</w:t>
      </w:r>
    </w:p>
    <w:p>
      <w:pPr>
        <w:pStyle w:val="ListParagraph"/>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En mérito de lo expuesto la suscrita Secretaría de Hacienda de Aguazul (Casanare):</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RESUELVE:</w:t>
      </w:r>
    </w:p>
    <w:p>
      <w:pPr>
        <w:pStyle w:val="Normal"/>
        <w:spacing w:lineRule="auto" w:line="240" w:before="0" w:after="0"/>
        <w:jc w:val="right"/>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PRIMERO: </w:t>
      </w:r>
      <w:r>
        <w:rPr>
          <w:rFonts w:cs="Arial" w:ascii="Arial" w:hAnsi="Arial"/>
        </w:rPr>
        <w:t xml:space="preserve">Imponer </w:t>
      </w:r>
      <w:r>
        <w:rPr>
          <w:rFonts w:cs="Arial" w:ascii="Arial" w:hAnsi="Arial"/>
          <w:b/>
          <w:bCs/>
        </w:rPr>
        <w:t>SANCIÓN</w:t>
      </w:r>
      <w:r>
        <w:rPr>
          <w:rFonts w:cs="Arial" w:ascii="Arial" w:hAnsi="Arial"/>
        </w:rPr>
        <w:t xml:space="preserve"> por no declarar el impuesto de alumbrado público al contribuyente </w:t>
      </w:r>
    </w:p>
    <w:p>
      <w:pPr>
        <w:pStyle w:val="Normal"/>
        <w:spacing w:lineRule="auto" w:line="240" w:before="0" w:after="0"/>
        <w:jc w:val="both"/>
        <w:rPr>
          <w:rFonts w:ascii="Arial" w:hAnsi="Arial" w:cs="Arial"/>
          <w:b/>
          <w:b/>
          <w:lang w:val="es-ES_tradnl"/>
        </w:rPr>
      </w:pPr>
      <w:r>
        <w:rPr>
          <w:rFonts w:cs="Arial" w:ascii="Arial Narrow" w:hAnsi="Arial Narrow"/>
        </w:rPr>
        <w:t>TULIO  RINCON MARCO por valor de 3.900.000,00 correspondiente al periodo 2023.</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SEGUNDO: </w:t>
      </w:r>
      <w:r>
        <w:rPr>
          <w:rFonts w:cs="Arial" w:ascii="Arial" w:hAnsi="Arial"/>
          <w:b/>
          <w:bCs/>
        </w:rPr>
        <w:t>NOTIFICAR</w:t>
      </w:r>
      <w:r>
        <w:rPr>
          <w:rFonts w:cs="Arial" w:ascii="Arial" w:hAnsi="Arial"/>
        </w:rPr>
        <w:t xml:space="preserve"> la presente resolución a la dirección electrónica aportada por el solicitante en la petición, de conformidad con lo dispuesto en los artículos 308 al 317 del estatuto de rentas municipal (Acuerdo 020 de 2016), advirtiéndole al peticionario que contra la presente actuación procede el </w:t>
      </w:r>
      <w:r>
        <w:rPr>
          <w:rFonts w:cs="Arial" w:ascii="Arial" w:hAnsi="Arial"/>
          <w:b/>
          <w:bCs/>
        </w:rPr>
        <w:t>RECURSO DE RECONSIDERACIÓN</w:t>
      </w:r>
      <w:r>
        <w:rPr>
          <w:rFonts w:cs="Arial" w:ascii="Arial" w:hAnsi="Arial"/>
        </w:rPr>
        <w:t xml:space="preserve">, el cual, según lo dispuesto en el artículo 385 del estatuto de rentas, deberá </w:t>
      </w:r>
      <w:r>
        <w:rPr>
          <w:rFonts w:cs="Arial" w:ascii="Arial" w:hAnsi="Arial"/>
          <w:b/>
          <w:bCs/>
          <w:u w:val="single"/>
        </w:rPr>
        <w:t>interponerse ante el Despacho de la Secretaría de Hacienda</w:t>
      </w:r>
      <w:r>
        <w:rPr>
          <w:rFonts w:cs="Arial" w:ascii="Arial" w:hAnsi="Arial"/>
        </w:rPr>
        <w:t xml:space="preserve"> dentro de los </w:t>
      </w:r>
      <w:r>
        <w:rPr>
          <w:rFonts w:cs="Arial" w:ascii="Arial" w:hAnsi="Arial"/>
          <w:b/>
          <w:bCs/>
          <w:u w:val="single"/>
        </w:rPr>
        <w:t>dos (2) meses calendario</w:t>
      </w:r>
      <w:r>
        <w:rPr>
          <w:rFonts w:cs="Arial" w:ascii="Arial" w:hAnsi="Arial"/>
        </w:rPr>
        <w:t xml:space="preserve"> siguientes a la fecha de notificación, cumpliendo los requisitos establecidos en el artículo 387 de la norma mencionada.</w:t>
      </w:r>
    </w:p>
    <w:p>
      <w:pPr>
        <w:pStyle w:val="Normal"/>
        <w:spacing w:lineRule="auto" w:line="240" w:before="0" w:after="0"/>
        <w:jc w:val="center"/>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NOTIFIQUESE Y CÚMPLASE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sz w:val="20"/>
          <w:szCs w:val="20"/>
        </w:rPr>
      </w:pPr>
      <w:r>
        <w:rPr>
          <w:rFonts w:cs="Arial" w:ascii="Arial" w:hAnsi="Arial"/>
          <w:b/>
          <w:bCs/>
          <w:sz w:val="20"/>
          <w:szCs w:val="20"/>
        </w:rPr>
        <w:t>YENNY CAROLINA CARDENAS GARCIA</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ind w:left="708" w:hanging="708"/>
        <w:jc w:val="center"/>
        <w:rPr>
          <w:rFonts w:ascii="Arial" w:hAnsi="Arial" w:cs="Arial"/>
        </w:rPr>
      </w:pPr>
      <w:r>
        <w:rPr>
          <w:rFonts w:cs="Arial" w:ascii="Arial" w:hAnsi="Arial"/>
        </w:rPr>
        <w:t>Alcaldía de Aguazul (Casanare)</w:t>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88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4722"/>
      </w:tblGrid>
      <w:tr>
        <w:trPr/>
        <w:tc>
          <w:tcPr>
            <w:tcW w:w="4105"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c>
          <w:tcPr>
            <w:tcW w:w="4722"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r>
    </w:tbl>
    <w:p>
      <w:pPr>
        <w:pStyle w:val="Normal"/>
        <w:spacing w:lineRule="auto" w:line="240" w:before="0" w:after="0"/>
        <w:jc w:val="center"/>
        <w:rPr>
          <w:rFonts w:ascii="Arial" w:hAnsi="Arial" w:cs="Arial"/>
          <w:b/>
          <w:b/>
          <w:sz w:val="16"/>
          <w:szCs w:val="16"/>
          <w:lang w:val="es-ES_tradnl"/>
        </w:rPr>
      </w:pPr>
      <w:r>
        <w:rPr>
          <w:rFonts w:cs="Arial" w:ascii="Arial" w:hAnsi="Arial"/>
          <w:b/>
          <w:sz w:val="16"/>
          <w:szCs w:val="16"/>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r>
      <w:r>
        <w:br w:type="page"/>
      </w:r>
    </w:p>
    <w:p>
      <w:pPr>
        <w:pStyle w:val="Normal"/>
        <w:spacing w:lineRule="auto" w:line="240" w:before="0" w:after="0"/>
        <w:jc w:val="center"/>
        <w:rPr>
          <w:rFonts w:ascii="Arial" w:hAnsi="Arial" w:cs="Arial"/>
          <w:b/>
          <w:b/>
          <w:bCs/>
          <w:lang w:val="es-ES_tradnl"/>
        </w:rPr>
      </w:pPr>
      <w:r>
        <w:rPr>
          <w:rFonts w:cs="Arial" w:ascii="Arial" w:hAnsi="Arial"/>
          <w:b/>
          <w:lang w:val="es-ES_tradnl"/>
        </w:rPr>
        <w:t>A</w:t>
      </w:r>
      <w:r>
        <w:rPr>
          <w:rFonts w:cs="Arial" w:ascii="Arial" w:hAnsi="Arial"/>
          <w:b/>
          <w:bCs/>
          <w:lang w:val="es-ES_tradnl"/>
        </w:rPr>
        <w:t>NEXO EXPLICATIVO</w:t>
      </w:r>
    </w:p>
    <w:p>
      <w:pPr>
        <w:pStyle w:val="Normal"/>
        <w:spacing w:lineRule="auto" w:line="240" w:before="0" w:after="0"/>
        <w:jc w:val="center"/>
        <w:rPr>
          <w:rFonts w:ascii="Arial" w:hAnsi="Arial" w:cs="Arial"/>
          <w:b/>
          <w:b/>
          <w:bCs/>
          <w:lang w:val="es-ES_tradnl"/>
        </w:rPr>
      </w:pPr>
      <w:r>
        <w:rPr>
          <w:rFonts w:cs="Arial" w:ascii="Arial" w:hAnsi="Arial"/>
          <w:b/>
          <w:bCs/>
          <w:lang w:val="es-ES_tradnl"/>
        </w:rPr>
      </w:r>
    </w:p>
    <w:p>
      <w:pPr>
        <w:pStyle w:val="Normal"/>
        <w:spacing w:lineRule="auto" w:line="240" w:before="0" w:after="0"/>
        <w:jc w:val="center"/>
        <w:rPr>
          <w:rFonts w:ascii="Arial" w:hAnsi="Arial" w:cs="Arial"/>
          <w:b/>
          <w:b/>
          <w:bCs/>
          <w:lang w:val="es-ES_tradnl"/>
        </w:rPr>
      </w:pPr>
      <w:r>
        <w:rPr>
          <w:rFonts w:cs="Arial" w:ascii="Arial" w:hAnsi="Arial"/>
          <w:b/>
          <w:bCs/>
          <w:lang w:val="es-ES_tradnl"/>
        </w:rPr>
        <w:t>RESOLUCION SANCION PÓR NO DECLARAR</w:t>
      </w:r>
    </w:p>
    <w:p>
      <w:pPr>
        <w:pStyle w:val="Normal"/>
        <w:spacing w:lineRule="auto" w:line="240" w:before="0" w:after="0"/>
        <w:jc w:val="center"/>
        <w:rPr>
          <w:rFonts w:ascii="Arial" w:hAnsi="Arial" w:cs="Arial"/>
          <w:b/>
          <w:b/>
          <w:lang w:val="es-ES_tradnl"/>
        </w:rPr>
      </w:pPr>
      <w:r>
        <w:rPr>
          <w:rFonts w:cs="Arial" w:ascii="Arial" w:hAnsi="Arial"/>
          <w:b/>
          <w:bCs/>
          <w:lang w:val="es-ES_tradnl"/>
        </w:rPr>
        <w:t xml:space="preserve">No. 2022- 0703 </w:t>
      </w:r>
      <w:r>
        <w:rPr>
          <w:rFonts w:cs="Arial" w:ascii="Arial" w:hAnsi="Arial"/>
          <w:b/>
          <w:lang w:val="es-ES_tradnl"/>
        </w:rPr>
        <w:t>del 14 de octubre de 2022</w:t>
      </w:r>
    </w:p>
    <w:p>
      <w:pPr>
        <w:pStyle w:val="Normal"/>
        <w:spacing w:lineRule="auto" w:line="240" w:before="0" w:after="0"/>
        <w:jc w:val="center"/>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2345</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TULIO  RINCON MARCO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4162028</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2023</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calle 76 76 76</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ABRIAQUÍ, ANTIOQUIA</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6345995</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a@com.co</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 COMPETENCIA.</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Secretaría de Hacienda del Municipio de Aguazul (Casanare), en uso de sus atribuciones legales y especialmente las conferidas por los artículos 348, 350 y 352 del Estatuto de Rentas Municipal (Acuerdo 020 del 2016), y </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2.- OPORTUNIDAD.</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La presente sanción por no declarar se profiere dentro del término de cinco (5) años establecido en los artículos 376 a 379 del Acuerdo 020 de 2016, y una vez vencido el término de la investigada para responder el Emplazamiento para Declarar No. </w:t>
      </w:r>
      <w:r>
        <w:rPr>
          <w:rFonts w:eastAsia="Calibri" w:cs="Arial" w:ascii="Arial" w:hAnsi="Arial" w:eastAsiaTheme="minorHAnsi"/>
          <w:iCs/>
          <w:color w:val="auto"/>
          <w:kern w:val="0"/>
          <w:sz w:val="22"/>
          <w:szCs w:val="22"/>
          <w:lang w:val="es-ES_tradnl" w:eastAsia="en-US" w:bidi="ar-SA"/>
        </w:rPr>
        <w:t>234545</w:t>
      </w:r>
      <w:r>
        <w:rPr>
          <w:rFonts w:eastAsia="Calibri" w:cs="Arial" w:ascii="Arial" w:hAnsi="Arial" w:eastAsiaTheme="minorHAnsi"/>
          <w:color w:val="auto"/>
          <w:kern w:val="0"/>
          <w:sz w:val="22"/>
          <w:szCs w:val="22"/>
          <w:lang w:val="es-ES_tradnl" w:eastAsia="en-US" w:bidi="ar-SA"/>
        </w:rPr>
        <w:t xml:space="preserve"> del </w:t>
      </w:r>
      <w:r>
        <w:rPr>
          <w:rFonts w:eastAsia="Calibri" w:cs="Arial" w:ascii="Arial" w:hAnsi="Arial" w:eastAsiaTheme="minorHAnsi"/>
          <w:iCs/>
          <w:color w:val="auto"/>
          <w:kern w:val="0"/>
          <w:sz w:val="22"/>
          <w:szCs w:val="22"/>
          <w:lang w:val="es-ES_tradnl" w:eastAsia="en-US" w:bidi="ar-SA"/>
        </w:rPr>
        <w:t>29 de Agosto de 2024</w:t>
      </w:r>
      <w:r>
        <w:rPr>
          <w:rFonts w:eastAsia="Calibri" w:cs="Arial" w:ascii="Arial" w:hAnsi="Arial" w:eastAsiaTheme="minorHAnsi"/>
          <w:color w:val="auto"/>
          <w:kern w:val="0"/>
          <w:sz w:val="22"/>
          <w:szCs w:val="22"/>
          <w:lang w:val="es-ES_tradnl" w:eastAsia="en-US" w:bidi="ar-SA"/>
        </w:rPr>
        <w:t>,</w:t>
      </w:r>
      <w:r>
        <w:rPr>
          <w:rFonts w:cs="Arial" w:ascii="Arial" w:hAnsi="Arial"/>
          <w:lang w:val="es-ES_tradnl"/>
        </w:rPr>
        <w:t xml:space="preserve"> notificado </w:t>
      </w:r>
      <w:r>
        <w:rPr>
          <w:rFonts w:cs="Arial" w:ascii="Arial" w:hAnsi="Arial"/>
          <w:iCs/>
          <w:sz w:val="20"/>
          <w:szCs w:val="20"/>
          <w:lang w:val="es-ES_tradnl"/>
        </w:rPr>
        <w:t>el d</w:t>
      </w:r>
      <w:r>
        <w:rPr>
          <w:rFonts w:eastAsia="Calibri" w:cs="Arial" w:ascii="Arial" w:hAnsi="Arial" w:eastAsiaTheme="minorHAnsi"/>
          <w:iCs/>
          <w:color w:val="auto"/>
          <w:kern w:val="0"/>
          <w:sz w:val="20"/>
          <w:szCs w:val="20"/>
          <w:lang w:val="es-ES_tradnl" w:eastAsia="en-US" w:bidi="ar-SA"/>
        </w:rPr>
        <w:t>ía 05 de Julio de 2024</w:t>
      </w:r>
      <w:r>
        <w:rPr>
          <w:rFonts w:cs="Arial" w:ascii="Arial" w:hAnsi="Arial"/>
          <w:lang w:val="es-ES_tradnl"/>
        </w:rPr>
        <w:t>.</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bCs/>
          <w:lang w:val="es-ES_tradnl"/>
        </w:rPr>
      </w:pPr>
      <w:r>
        <w:rPr>
          <w:rFonts w:cs="Arial" w:ascii="Arial" w:hAnsi="Arial"/>
          <w:lang w:val="es-ES_tradnl"/>
        </w:rPr>
        <w:t>3.-HECHOS.</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Expuestos en la parte considerativa del acto administrativo.</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4.- FUNDAMENTOS DE DERECHO.</w:t>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rPr>
          <w:rFonts w:ascii="Arial" w:hAnsi="Arial" w:cs="Arial"/>
          <w:bCs/>
          <w:sz w:val="20"/>
          <w:szCs w:val="20"/>
          <w:lang w:val="es-ES_tradnl"/>
        </w:rPr>
      </w:pPr>
      <w:r>
        <w:rPr>
          <w:rFonts w:cs="Arial" w:ascii="Arial" w:hAnsi="Arial"/>
          <w:bCs/>
          <w:sz w:val="20"/>
          <w:szCs w:val="20"/>
          <w:lang w:val="es-ES_tradnl"/>
        </w:rPr>
        <w:t>1º.- Constitución Nacional y Leyes.</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 xml:space="preserve">2º.- </w:t>
      </w:r>
      <w:r>
        <w:rPr>
          <w:rFonts w:cs="Arial" w:ascii="Arial" w:hAnsi="Arial"/>
          <w:sz w:val="20"/>
          <w:szCs w:val="20"/>
          <w:lang w:val="es-ES_tradnl"/>
        </w:rPr>
        <w:t xml:space="preserve">Estatuto de Rentas de Aguazul (Acuerdo No. 020 de diciembre 21 de 2016) </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lang w:val="es-ES_tradnl"/>
        </w:rPr>
      </w:pPr>
      <w:r>
        <w:rPr>
          <w:rFonts w:cs="Arial" w:ascii="Arial" w:hAnsi="Arial"/>
          <w:sz w:val="20"/>
          <w:szCs w:val="20"/>
        </w:rPr>
        <w:t>XXXXXXXXXXX</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5.- ARGUMENTOS DEL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rPr>
      </w:pPr>
      <w:r>
        <w:rPr>
          <w:rFonts w:cs="Arial" w:ascii="Arial" w:hAnsi="Arial"/>
        </w:rPr>
        <w:t>La investigada presentó los siguientes argumentos de respuesta al emplazamiento para declarar.</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Cs/>
          <w:lang w:val="es-ES_tradnl"/>
        </w:rPr>
      </w:pPr>
      <w:r>
        <w:rPr>
          <w:rFonts w:cs="Arial" w:ascii="Arial" w:hAnsi="Arial"/>
          <w:bCs/>
          <w:lang w:val="es-ES_tradnl"/>
        </w:rPr>
      </w:r>
    </w:p>
    <w:p>
      <w:pPr>
        <w:pStyle w:val="Normal"/>
        <w:spacing w:lineRule="auto" w:line="240" w:before="0" w:after="0"/>
        <w:ind w:firstLine="708"/>
        <w:jc w:val="both"/>
        <w:rPr>
          <w:rFonts w:ascii="Arial" w:hAnsi="Arial" w:cs="Arial"/>
          <w:lang w:val="es-ES_tradnl"/>
        </w:rPr>
      </w:pPr>
      <w:r>
        <w:rPr>
          <w:rFonts w:cs="Arial" w:ascii="Arial" w:hAnsi="Arial"/>
          <w:b/>
          <w:bCs/>
          <w:lang w:val="es-ES_tradnl"/>
        </w:rPr>
        <w:t xml:space="preserve">8.- SANCION: </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La no presentación de la declaración del Impuesto de alumbrado público, dentro del término estipulado en el Emplazamiento para Declarar acarrea la sanción equivalente al veinte por ciento (20%) de la base gravable sobre el valor de la energía autogenerada en la jurisdicción territorial del Municipio de Aguazul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tbl>
      <w:tblPr>
        <w:tblW w:w="8432"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077"/>
        <w:gridCol w:w="263"/>
        <w:gridCol w:w="2430"/>
        <w:gridCol w:w="991"/>
        <w:gridCol w:w="360"/>
        <w:gridCol w:w="2310"/>
      </w:tblGrid>
      <w:tr>
        <w:trPr/>
        <w:tc>
          <w:tcPr>
            <w:tcW w:w="2077" w:type="dxa"/>
            <w:tcBorders>
              <w:top w:val="single" w:sz="4" w:space="0" w:color="000000"/>
              <w:left w:val="single" w:sz="4" w:space="0" w:color="000000"/>
              <w:bottom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CONCEPTO</w:t>
            </w:r>
          </w:p>
        </w:tc>
        <w:tc>
          <w:tcPr>
            <w:tcW w:w="2693" w:type="dxa"/>
            <w:gridSpan w:val="2"/>
            <w:tcBorders>
              <w:top w:val="single" w:sz="4" w:space="0" w:color="000000"/>
              <w:left w:val="single" w:sz="4" w:space="0" w:color="000000"/>
              <w:bottom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BASE</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TARIFA</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SANCION PROPUESTA</w:t>
            </w:r>
          </w:p>
        </w:tc>
      </w:tr>
      <w:tr>
        <w:trPr>
          <w:trHeight w:val="56" w:hRule="atLeast"/>
        </w:trPr>
        <w:tc>
          <w:tcPr>
            <w:tcW w:w="2077" w:type="dxa"/>
            <w:tcBorders>
              <w:top w:val="single" w:sz="4" w:space="0" w:color="000000"/>
              <w:left w:val="single" w:sz="4" w:space="0" w:color="000000"/>
              <w:bottom w:val="single" w:sz="4" w:space="0" w:color="000000"/>
            </w:tcBorders>
          </w:tcPr>
          <w:p>
            <w:pPr>
              <w:pStyle w:val="BodyText2"/>
              <w:widowControl w:val="false"/>
              <w:spacing w:lineRule="auto" w:line="240" w:before="0" w:after="0"/>
              <w:jc w:val="center"/>
              <w:rPr>
                <w:rFonts w:ascii="Arial" w:hAnsi="Arial" w:cs="Arial"/>
                <w:b/>
                <w:b/>
              </w:rPr>
            </w:pPr>
            <w:r>
              <w:rPr>
                <w:rFonts w:cs="Arial" w:ascii="Arial" w:hAnsi="Arial"/>
              </w:rPr>
              <w:t>IMPUESTO DETERMINADO</w:t>
            </w:r>
          </w:p>
        </w:tc>
        <w:tc>
          <w:tcPr>
            <w:tcW w:w="263" w:type="dxa"/>
            <w:tcBorders>
              <w:top w:val="single" w:sz="4" w:space="0" w:color="000000"/>
              <w:left w:val="single" w:sz="4" w:space="0" w:color="000000"/>
              <w:bottom w:val="single" w:sz="4" w:space="0" w:color="000000"/>
            </w:tcBorders>
            <w:tcMar>
              <w:top w:w="55" w:type="dxa"/>
              <w:bottom w:w="55" w:type="dxa"/>
            </w:tcMar>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rPr>
              <w:t>$</w:t>
            </w:r>
          </w:p>
        </w:tc>
        <w:tc>
          <w:tcPr>
            <w:tcW w:w="2430" w:type="dxa"/>
            <w:tcBorders>
              <w:top w:val="single" w:sz="4" w:space="0" w:color="000000"/>
              <w:bottom w:val="single" w:sz="4" w:space="0" w:color="000000"/>
              <w:right w:val="single" w:sz="4" w:space="0" w:color="000000"/>
            </w:tcBorders>
            <w:tcMar>
              <w:top w:w="55" w:type="dxa"/>
              <w:bottom w:w="55" w:type="dxa"/>
            </w:tcMar>
            <w:vAlign w:val="center"/>
          </w:tcPr>
          <w:p>
            <w:pPr>
              <w:pStyle w:val="BodyText2"/>
              <w:widowControl w:val="false"/>
              <w:spacing w:lineRule="auto" w:line="240" w:before="0" w:after="0"/>
              <w:jc w:val="right"/>
              <w:rPr>
                <w:rFonts w:ascii="Arial" w:hAnsi="Arial" w:cs="Arial"/>
                <w:b w:val="false"/>
                <w:b w:val="false"/>
                <w:bCs w:val="false"/>
              </w:rPr>
            </w:pPr>
            <w:r>
              <w:rPr>
                <w:rFonts w:cs="Arial" w:ascii="Arial" w:hAnsi="Arial"/>
                <w:b w:val="false"/>
                <w:bCs w:val="false"/>
              </w:rPr>
              <w:t>850.000,00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rPr>
              <w:t>20%</w:t>
            </w:r>
          </w:p>
        </w:tc>
        <w:tc>
          <w:tcPr>
            <w:tcW w:w="360" w:type="dxa"/>
            <w:tcBorders>
              <w:top w:val="single" w:sz="4" w:space="0" w:color="000000"/>
              <w:left w:val="single" w:sz="4" w:space="0" w:color="000000"/>
              <w:bottom w:val="single" w:sz="4" w:space="0" w:color="000000"/>
            </w:tcBorders>
            <w:tcMar>
              <w:top w:w="55" w:type="dxa"/>
              <w:bottom w:w="55" w:type="dxa"/>
            </w:tcMar>
            <w:vAlign w:val="cente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w:t>
            </w:r>
          </w:p>
        </w:tc>
        <w:tc>
          <w:tcPr>
            <w:tcW w:w="2310" w:type="dxa"/>
            <w:tcBorders>
              <w:top w:val="single" w:sz="4" w:space="0" w:color="000000"/>
              <w:bottom w:val="single" w:sz="4" w:space="0" w:color="000000"/>
              <w:right w:val="single" w:sz="4" w:space="0" w:color="000000"/>
            </w:tcBorders>
            <w:tcMar>
              <w:top w:w="55" w:type="dxa"/>
              <w:bottom w:w="55" w:type="dxa"/>
            </w:tcMar>
            <w:vAlign w:val="center"/>
          </w:tcPr>
          <w:p>
            <w:pPr>
              <w:pStyle w:val="BodyText2"/>
              <w:widowControl w:val="false"/>
              <w:spacing w:lineRule="auto" w:line="240" w:before="0" w:after="0"/>
              <w:jc w:val="center"/>
              <w:rPr>
                <w:rFonts w:ascii="Arial" w:hAnsi="Arial" w:cs="Arial"/>
                <w:b w:val="false"/>
                <w:b w:val="false"/>
                <w:bCs w:val="false"/>
              </w:rPr>
            </w:pPr>
            <w:r>
              <w:rPr>
                <w:rFonts w:cs="Arial" w:ascii="Arial" w:hAnsi="Arial"/>
                <w:b w:val="false"/>
                <w:bCs w:val="false"/>
                <w:color w:val="000000"/>
              </w:rPr>
              <w:t>3.900.000,00</w:t>
            </w:r>
          </w:p>
        </w:tc>
      </w:tr>
      <w:tr>
        <w:trPr/>
        <w:tc>
          <w:tcPr>
            <w:tcW w:w="5761" w:type="dxa"/>
            <w:gridSpan w:val="4"/>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right"/>
              <w:rPr>
                <w:rFonts w:ascii="Arial" w:hAnsi="Arial" w:cs="Arial"/>
                <w:b/>
                <w:b/>
              </w:rPr>
            </w:pPr>
            <w:r>
              <w:rPr>
                <w:rFonts w:cs="Arial" w:ascii="Arial" w:hAnsi="Arial"/>
                <w:b/>
              </w:rPr>
              <w:t>TOTAL SANCION</w:t>
            </w:r>
          </w:p>
        </w:tc>
        <w:tc>
          <w:tcPr>
            <w:tcW w:w="360" w:type="dxa"/>
            <w:tcBorders>
              <w:top w:val="single" w:sz="4" w:space="0" w:color="000000"/>
              <w:left w:val="single" w:sz="4" w:space="0" w:color="000000"/>
              <w:bottom w:val="single" w:sz="4" w:space="0" w:color="000000"/>
            </w:tcBorders>
            <w:tcMar>
              <w:top w:w="55" w:type="dxa"/>
              <w:bottom w:w="55" w:type="dxa"/>
            </w:tcMa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w:t>
            </w:r>
          </w:p>
        </w:tc>
        <w:tc>
          <w:tcPr>
            <w:tcW w:w="2310" w:type="dxa"/>
            <w:tcBorders>
              <w:top w:val="single" w:sz="4" w:space="0" w:color="000000"/>
              <w:bottom w:val="single" w:sz="4" w:space="0" w:color="000000"/>
              <w:right w:val="single" w:sz="4" w:space="0" w:color="000000"/>
            </w:tcBorders>
            <w:tcMar>
              <w:top w:w="55" w:type="dxa"/>
              <w:bottom w:w="55" w:type="dxa"/>
            </w:tcMar>
          </w:tcPr>
          <w:p>
            <w:pPr>
              <w:pStyle w:val="BodyText2"/>
              <w:widowControl w:val="false"/>
              <w:spacing w:lineRule="auto" w:line="240" w:before="0" w:after="0"/>
              <w:jc w:val="center"/>
              <w:rPr>
                <w:b w:val="false"/>
                <w:b w:val="false"/>
                <w:bCs w:val="false"/>
              </w:rPr>
            </w:pPr>
            <w:r>
              <w:rPr>
                <w:rFonts w:cs="Arial" w:ascii="Arial" w:hAnsi="Arial"/>
                <w:b w:val="false"/>
                <w:bCs w:val="false"/>
                <w:iCs/>
                <w:sz w:val="20"/>
                <w:szCs w:val="20"/>
              </w:rPr>
              <w:t>3.900.000,00</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9.- OPCIONES PARA 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eastAsia="es-CO"/>
        </w:rPr>
      </w:pPr>
      <w:r>
        <w:rPr>
          <w:rFonts w:cs="Arial" w:ascii="Arial" w:hAnsi="Arial"/>
          <w:lang w:eastAsia="es-CO"/>
        </w:rPr>
        <w:t xml:space="preserve">Si dentro del término para interponer el </w:t>
      </w:r>
      <w:r>
        <w:rPr>
          <w:rFonts w:cs="Arial" w:ascii="Arial" w:hAnsi="Arial"/>
          <w:b/>
          <w:bCs/>
          <w:lang w:val="es-ES_tradnl"/>
        </w:rPr>
        <w:t xml:space="preserve">RECURSO DE RECONSIDERACIÓN </w:t>
      </w:r>
      <w:r>
        <w:rPr>
          <w:rFonts w:cs="Arial" w:ascii="Arial" w:hAnsi="Arial"/>
          <w:lang w:eastAsia="es-CO"/>
        </w:rPr>
        <w:t xml:space="preserve">contra la resolución que impone la sanción por no declarar </w:t>
      </w:r>
      <w:r>
        <w:rPr>
          <w:rFonts w:cs="Arial" w:ascii="Arial" w:hAnsi="Arial"/>
          <w:lang w:val="es-ES_tradnl"/>
        </w:rPr>
        <w:t>(2 meses posteriores a la notificación)</w:t>
      </w:r>
      <w:r>
        <w:rPr>
          <w:rFonts w:cs="Arial" w:ascii="Arial" w:hAnsi="Arial"/>
          <w:lang w:eastAsia="es-CO"/>
        </w:rPr>
        <w:t xml:space="preserve">, el contribuyente presenta la declaración, la sanción por no declarar se reducirá al diez por ciento (10%) del valor de la misma, en cuyo caso, el contribuyente, responsable o agente retenedor, deberá liquidarla y pagarla al presentar la declaración tributaria. En todo caso, esta sanción no podrá ser inferior a la </w:t>
      </w:r>
      <w:r>
        <w:rPr>
          <w:rFonts w:cs="Arial" w:ascii="Arial" w:hAnsi="Arial"/>
          <w:bCs/>
          <w:lang w:val="es-ES_tradnl" w:eastAsia="es-CO"/>
        </w:rPr>
        <w:t>sanción por extemporaneidad en la presentación de las declaraciones con posterioridad al emplazamiento</w:t>
      </w:r>
      <w:r>
        <w:rPr>
          <w:rFonts w:cs="Arial" w:ascii="Arial" w:hAnsi="Arial"/>
          <w:lang w:eastAsia="es-CO"/>
        </w:rPr>
        <w:t>, prevista en el artículo 465 del Acuerdo 020 del 21 de diciembre de 2016, o la norma que lo modifique, adicione o sustituya.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rPr>
          <w:rFonts w:ascii="Arial" w:hAnsi="Arial" w:cs="Arial"/>
          <w:b/>
          <w:b/>
          <w:bCs/>
        </w:rPr>
      </w:pPr>
      <w:r>
        <w:rPr>
          <w:rFonts w:cs="Arial" w:ascii="Arial" w:hAnsi="Arial"/>
          <w:b/>
          <w:bCs/>
        </w:rPr>
        <w:t>10.- PRUEBAS VALORADAS.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En el presente proceso se valoraron las siguientes: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1º.- Las recaudadas en el expediente administrativo 2345.</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2º.- Consulta al sistema contable XX-XXXX-XXXX de la Secretaría de Hacienda.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11.- RECURSO PROCEDENTE CONTRA LA PRESENTE RESOLUCION</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Contra la presente resolución procede el </w:t>
      </w:r>
      <w:r>
        <w:rPr>
          <w:rFonts w:cs="Arial" w:ascii="Arial" w:hAnsi="Arial"/>
          <w:b/>
          <w:bCs/>
          <w:lang w:val="es-ES_tradnl"/>
        </w:rPr>
        <w:t>RECURSO DE RECONSIDERACIÓN</w:t>
      </w:r>
      <w:r>
        <w:rPr>
          <w:rFonts w:cs="Arial" w:ascii="Arial" w:hAnsi="Arial"/>
          <w:lang w:val="es-ES_tradnl"/>
        </w:rPr>
        <w:t xml:space="preserve"> dentro del término improrrogable de dos (2) meses siguientes a la notificación del presente acto administrativo, de conformidad con lo dispuesto en el artículo 385 el cual deberá presente ante la Secretaría de Hacienda Municipal cumpliendo los requisitos establecidos en el artículo 387 del estatuto de rentas municipal.</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 xml:space="preserve">12.- </w:t>
      </w:r>
      <w:r>
        <w:rPr>
          <w:rFonts w:cs="Arial" w:ascii="Arial" w:hAnsi="Arial"/>
          <w:b/>
        </w:rPr>
        <w:t>DIRECCION PARA NOTIFICACIONES.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 xml:space="preserve">De conformidad con el Artículo 308 del Estatuto de Rentas del Municipio de Aguazul, se definió como dirección para la notificación de la presente actuación la </w:t>
      </w:r>
      <w:r>
        <w:rPr>
          <w:rFonts w:cs="Arial" w:ascii="Arial" w:hAnsi="Arial"/>
          <w:bCs/>
          <w:iCs/>
          <w:kern w:val="0"/>
          <w:sz w:val="20"/>
          <w:szCs w:val="20"/>
          <w:lang w:val="es-CO" w:eastAsia="en-US" w:bidi="ar-SA"/>
        </w:rPr>
        <w:t>calle 76 76 76</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both"/>
        <w:rPr>
          <w:rFonts w:ascii="Arial" w:hAnsi="Arial" w:cs="Arial"/>
          <w:sz w:val="20"/>
          <w:szCs w:val="20"/>
        </w:rPr>
      </w:pPr>
      <w:r>
        <w:rPr>
          <w:rFonts w:cs="Arial" w:ascii="Arial" w:hAnsi="Arial"/>
          <w:sz w:val="20"/>
          <w:szCs w:val="20"/>
        </w:rPr>
        <w:t>1º.- Al contribuyente TULIO  RINCON MARCO, identificado con el CC: 4162028:</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79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9"/>
        <w:gridCol w:w="5812"/>
      </w:tblGrid>
      <w:tr>
        <w:trPr>
          <w:trHeight w:val="45" w:hRule="atLeast"/>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Dirección:</w:t>
            </w:r>
          </w:p>
        </w:tc>
        <w:tc>
          <w:tcPr>
            <w:tcW w:w="5812"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calle 76 76 76</w:t>
            </w:r>
          </w:p>
        </w:tc>
      </w:tr>
      <w:tr>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Ciudad:</w:t>
            </w:r>
          </w:p>
        </w:tc>
        <w:tc>
          <w:tcPr>
            <w:tcW w:w="5812"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ABRIAQUÍ, ANTIOQUIA</w:t>
            </w:r>
          </w:p>
        </w:tc>
      </w:tr>
      <w:tr>
        <w:trPr/>
        <w:tc>
          <w:tcPr>
            <w:tcW w:w="1979" w:type="dxa"/>
            <w:tcBorders>
              <w:bottom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Correo electrónico:</w:t>
            </w:r>
          </w:p>
        </w:tc>
        <w:tc>
          <w:tcPr>
            <w:tcW w:w="5812" w:type="dxa"/>
            <w:tcBorders>
              <w:bottom w:val="single" w:sz="12" w:space="0" w:color="000000"/>
              <w:right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a@com.co</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rPr>
      </w:pPr>
      <w:r>
        <w:rPr>
          <w:rFonts w:cs="Arial" w:ascii="Arial" w:hAnsi="Arial"/>
          <w:b/>
        </w:rPr>
        <w:t>CUMPLASE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sz w:val="20"/>
          <w:szCs w:val="20"/>
        </w:rPr>
      </w:pPr>
      <w:r>
        <w:rPr>
          <w:rFonts w:cs="Arial" w:ascii="Arial" w:hAnsi="Arial"/>
          <w:b/>
          <w:bCs/>
          <w:sz w:val="20"/>
          <w:szCs w:val="20"/>
        </w:rPr>
        <w:t>YENNY CAROLINA CARDENAS GARCIA</w:t>
      </w:r>
    </w:p>
    <w:p>
      <w:pPr>
        <w:pStyle w:val="Normal"/>
        <w:spacing w:lineRule="auto" w:line="240" w:before="0" w:after="0"/>
        <w:jc w:val="center"/>
        <w:rPr>
          <w:rFonts w:ascii="Arial" w:hAnsi="Arial" w:cs="Arial"/>
        </w:rPr>
      </w:pPr>
      <w:r>
        <w:rPr>
          <w:rFonts w:cs="Arial" w:ascii="Arial" w:hAnsi="Arial"/>
        </w:rPr>
        <w:t>Secretaria de Despacho</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jc w:val="both"/>
        <w:rPr>
          <w:rFonts w:ascii="Arial" w:hAnsi="Arial" w:cs="Arial"/>
          <w:sz w:val="16"/>
          <w:szCs w:val="16"/>
        </w:rPr>
      </w:pPr>
      <w:r>
        <w:rPr>
          <w:rFonts w:cs="Arial" w:ascii="Arial" w:hAnsi="Arial"/>
          <w:sz w:val="16"/>
          <w:szCs w:val="16"/>
        </w:rPr>
      </w:r>
    </w:p>
    <w:p>
      <w:pPr>
        <w:pStyle w:val="Normal"/>
        <w:spacing w:lineRule="auto" w:line="240" w:before="0" w:after="0"/>
        <w:jc w:val="both"/>
        <w:rPr>
          <w:rFonts w:ascii="Arial" w:hAnsi="Arial" w:cs="Arial"/>
          <w:sz w:val="16"/>
          <w:szCs w:val="16"/>
        </w:rPr>
      </w:pPr>
      <w:r>
        <w:rPr>
          <w:rFonts w:cs="Arial" w:ascii="Arial" w:hAnsi="Arial"/>
          <w:sz w:val="16"/>
          <w:szCs w:val="16"/>
        </w:rPr>
      </w:r>
    </w:p>
    <w:tbl>
      <w:tblPr>
        <w:tblStyle w:val="Tablaconcuadrcula"/>
        <w:tblW w:w="940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02"/>
        <w:gridCol w:w="4701"/>
      </w:tblGrid>
      <w:tr>
        <w:trPr/>
        <w:tc>
          <w:tcPr>
            <w:tcW w:w="4702"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c>
          <w:tcPr>
            <w:tcW w:w="4701"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r>
    </w:tbl>
    <w:p>
      <w:pPr>
        <w:pStyle w:val="Normal"/>
        <w:spacing w:lineRule="auto" w:line="240" w:before="0" w:after="0"/>
        <w:rPr>
          <w:rFonts w:ascii="Arial" w:hAnsi="Arial" w:cs="Arial"/>
        </w:rPr>
      </w:pPr>
      <w:r>
        <w:rPr>
          <w:rFonts w:cs="Arial" w:ascii="Arial" w:hAnsi="Arial"/>
        </w:rPr>
      </w:r>
    </w:p>
    <w:p>
      <w:pPr>
        <w:pStyle w:val="Normal"/>
        <w:tabs>
          <w:tab w:val="clear" w:pos="708"/>
          <w:tab w:val="left" w:pos="3420" w:leader="none"/>
        </w:tabs>
        <w:spacing w:before="0" w:after="200"/>
        <w:rPr>
          <w:rFonts w:ascii="Arial" w:hAnsi="Arial" w:cs="Arial"/>
        </w:rPr>
      </w:pPr>
      <w:r>
        <w:rPr/>
      </w:r>
    </w:p>
    <w:sectPr>
      <w:headerReference w:type="default" r:id="rId2"/>
      <w:footerReference w:type="default" r:id="rId3"/>
      <w:type w:val="nextPage"/>
      <w:pgSz w:w="12240" w:h="15840"/>
      <w:pgMar w:left="1418" w:right="1418" w:gutter="0" w:header="567" w:top="1418" w:footer="567"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rFonts w:ascii="AvenirNext LT Pro Regular" w:hAnsi="AvenirNext LT Pro Regular"/>
        <w:sz w:val="18"/>
        <w:szCs w:val="18"/>
        <w:lang w:val="es-ES"/>
      </w:rPr>
    </w:pPr>
    <w:r>
      <w:rPr/>
      <w:drawing>
        <wp:inline distT="0" distB="0" distL="0" distR="0">
          <wp:extent cx="4529455" cy="571500"/>
          <wp:effectExtent l="0" t="0" r="0" b="0"/>
          <wp:docPr id="3"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8" descr=""/>
                  <pic:cNvPicPr>
                    <a:picLocks noChangeAspect="1" noChangeArrowheads="1"/>
                  </pic:cNvPicPr>
                </pic:nvPicPr>
                <pic:blipFill>
                  <a:blip r:embed="rId1"/>
                  <a:stretch>
                    <a:fillRect/>
                  </a:stretch>
                </pic:blipFill>
                <pic:spPr bwMode="auto">
                  <a:xfrm>
                    <a:off x="0" y="0"/>
                    <a:ext cx="4529455"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4"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Arial" w:hAnsi="Arial" w:cs="Arial"/>
              <w:b/>
              <w:b/>
              <w:sz w:val="24"/>
              <w:szCs w:val="24"/>
              <w:lang w:val="es-ES" w:eastAsia="es-ES"/>
            </w:rPr>
          </w:pPr>
          <w:r>
            <w:rPr>
              <w:rFonts w:cs="Arial" w:ascii="Arial" w:hAnsi="Arial"/>
              <w:b/>
              <w:kern w:val="0"/>
              <w:sz w:val="24"/>
              <w:szCs w:val="24"/>
              <w:lang w:val="es-CO" w:eastAsia="en-US"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813" w:leader="none"/>
            </w:tabs>
            <w:suppressAutoHyphens w:val="true"/>
            <w:spacing w:before="0" w:after="200"/>
            <w:jc w:val="left"/>
            <w:rPr>
              <w:rFonts w:ascii="AvenirNext LT Pro Regular" w:hAnsi="AvenirNext LT Pro Regular"/>
            </w:rPr>
          </w:pPr>
          <w:r>
            <w:drawing>
              <wp:anchor behindDoc="0" distT="0" distB="0" distL="114300" distR="114300" simplePos="0" locked="0" layoutInCell="1" allowOverlap="1" relativeHeight="15">
                <wp:simplePos x="0" y="0"/>
                <wp:positionH relativeFrom="column">
                  <wp:posOffset>-47625</wp:posOffset>
                </wp:positionH>
                <wp:positionV relativeFrom="paragraph">
                  <wp:posOffset>160655</wp:posOffset>
                </wp:positionV>
                <wp:extent cx="1126490" cy="291465"/>
                <wp:effectExtent l="0" t="0" r="0" b="0"/>
                <wp:wrapTopAndBottom/>
                <wp:docPr id="1"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ascii="AvenirNext LT Pro Regular" w:hAnsi="AvenirNext LT Pro Regular"/>
              <w:kern w:val="0"/>
              <w:sz w:val="22"/>
              <w:szCs w:val="22"/>
              <w:lang w:val="es-CO" w:eastAsia="en-US"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eastAsia="en-US"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8">
                <wp:simplePos x="0" y="0"/>
                <wp:positionH relativeFrom="column">
                  <wp:posOffset>156210</wp:posOffset>
                </wp:positionH>
                <wp:positionV relativeFrom="paragraph">
                  <wp:posOffset>23495</wp:posOffset>
                </wp:positionV>
                <wp:extent cx="762000" cy="54292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lang w:val="es-ES" w:eastAsia="es-ES"/>
            </w:rPr>
          </w:pPr>
          <w:r>
            <w:rPr>
              <w:rFonts w:cs="Arial" w:ascii="Arial" w:hAnsi="Arial"/>
              <w:kern w:val="0"/>
              <w:sz w:val="20"/>
              <w:szCs w:val="20"/>
              <w:lang w:val="es-CO" w:eastAsia="en-US" w:bidi="ar-SA"/>
            </w:rPr>
            <w:t>Vigente: Resolución No. 429 del 22 de diciembre del 2022</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d06"/>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Heading2">
    <w:name w:val="Heading 2"/>
    <w:basedOn w:val="Normal"/>
    <w:next w:val="Normal"/>
    <w:link w:val="Ttulo2Car"/>
    <w:uiPriority w:val="9"/>
    <w:semiHidden/>
    <w:unhideWhenUsed/>
    <w:qFormat/>
    <w:rsid w:val="009d0d06"/>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4">
    <w:name w:val="Heading 4"/>
    <w:basedOn w:val="Normal"/>
    <w:link w:val="Ttulo4Car"/>
    <w:uiPriority w:val="9"/>
    <w:qFormat/>
    <w:rsid w:val="009d0d06"/>
    <w:pPr>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Ttulo2Car" w:customStyle="1">
    <w:name w:val="Título 2 Car"/>
    <w:basedOn w:val="DefaultParagraphFont"/>
    <w:link w:val="Heading2"/>
    <w:uiPriority w:val="9"/>
    <w:semiHidden/>
    <w:qFormat/>
    <w:rsid w:val="009d0d06"/>
    <w:rPr>
      <w:rFonts w:ascii="Calibri Light" w:hAnsi="Calibri Light" w:eastAsia="" w:cs="" w:asciiTheme="majorHAnsi" w:cstheme="majorBidi" w:eastAsiaTheme="majorEastAsia" w:hAnsiTheme="majorHAnsi"/>
      <w:color w:val="2E74B5" w:themeColor="accent1" w:themeShade="bf"/>
      <w:sz w:val="26"/>
      <w:szCs w:val="26"/>
    </w:rPr>
  </w:style>
  <w:style w:type="character" w:styleId="Ttulo4Car" w:customStyle="1">
    <w:name w:val="Título 4 Car"/>
    <w:basedOn w:val="DefaultParagraphFont"/>
    <w:link w:val="Heading4"/>
    <w:uiPriority w:val="9"/>
    <w:qFormat/>
    <w:rsid w:val="009d0d06"/>
    <w:rPr>
      <w:rFonts w:ascii="Times New Roman" w:hAnsi="Times New Roman" w:eastAsia="Times New Roman" w:cs="Times New Roman"/>
      <w:b/>
      <w:bCs/>
      <w:sz w:val="24"/>
      <w:szCs w:val="24"/>
      <w:lang w:eastAsia="es-CO"/>
    </w:rPr>
  </w:style>
  <w:style w:type="character" w:styleId="TextonotapieCar" w:customStyle="1">
    <w:name w:val="Texto nota pie Car"/>
    <w:basedOn w:val="DefaultParagraphFont"/>
    <w:link w:val="Footnote"/>
    <w:uiPriority w:val="99"/>
    <w:qFormat/>
    <w:rsid w:val="009d0d06"/>
    <w:rPr>
      <w:rFonts w:ascii="Calibri" w:hAnsi="Calibri" w:eastAsia="Calibri" w:cs="Calibri"/>
      <w:sz w:val="20"/>
      <w:szCs w:val="20"/>
    </w:rPr>
  </w:style>
  <w:style w:type="character" w:styleId="SinespaciadoCar" w:customStyle="1">
    <w:name w:val="Sin espaciado Car"/>
    <w:basedOn w:val="DefaultParagraphFont"/>
    <w:link w:val="NoSpacing"/>
    <w:uiPriority w:val="1"/>
    <w:qFormat/>
    <w:locked/>
    <w:rsid w:val="009d0d06"/>
    <w:rPr>
      <w:lang w:val="en-US"/>
    </w:rPr>
  </w:style>
  <w:style w:type="character" w:styleId="FootnoteCharacters">
    <w:name w:val="Footnote Characters"/>
    <w:basedOn w:val="DefaultParagraphFont"/>
    <w:uiPriority w:val="99"/>
    <w:unhideWhenUsed/>
    <w:qFormat/>
    <w:rsid w:val="009d0d06"/>
    <w:rPr>
      <w:vertAlign w:val="superscript"/>
    </w:rPr>
  </w:style>
  <w:style w:type="character" w:styleId="FootnoteAnchor">
    <w:name w:val="Footnote Anchor"/>
    <w:rPr>
      <w:vertAlign w:val="superscript"/>
    </w:rPr>
  </w:style>
  <w:style w:type="character" w:styleId="TextodegloboCar" w:customStyle="1">
    <w:name w:val="Texto de globo Car"/>
    <w:basedOn w:val="DefaultParagraphFont"/>
    <w:link w:val="BalloonText"/>
    <w:uiPriority w:val="99"/>
    <w:semiHidden/>
    <w:qFormat/>
    <w:rsid w:val="009d0d06"/>
    <w:rPr>
      <w:rFonts w:ascii="Tahoma" w:hAnsi="Tahoma" w:eastAsia="Calibri" w:cs="Tahoma"/>
      <w:sz w:val="16"/>
      <w:szCs w:val="16"/>
    </w:rPr>
  </w:style>
  <w:style w:type="character" w:styleId="InternetLink">
    <w:name w:val="Hyperlink"/>
    <w:uiPriority w:val="99"/>
    <w:rsid w:val="009d0d06"/>
    <w:rPr>
      <w:color w:val="0000FF"/>
      <w:u w:val="single"/>
    </w:rPr>
  </w:style>
  <w:style w:type="character" w:styleId="Textoindependiente2Car" w:customStyle="1">
    <w:name w:val="Texto independiente 2 Car"/>
    <w:basedOn w:val="DefaultParagraphFont"/>
    <w:link w:val="BodyText2"/>
    <w:uiPriority w:val="99"/>
    <w:qFormat/>
    <w:rsid w:val="009d0d06"/>
    <w:rPr>
      <w:rFonts w:ascii="Calibri" w:hAnsi="Calibri" w:eastAsia="Calibri" w:cs="Calibri"/>
    </w:rPr>
  </w:style>
  <w:style w:type="character" w:styleId="Baj" w:customStyle="1">
    <w:name w:val="b_aj"/>
    <w:basedOn w:val="DefaultParagraphFont"/>
    <w:qFormat/>
    <w:rsid w:val="009d0d06"/>
    <w:rPr/>
  </w:style>
  <w:style w:type="character" w:styleId="Strong">
    <w:name w:val="Strong"/>
    <w:basedOn w:val="DefaultParagraphFont"/>
    <w:uiPriority w:val="22"/>
    <w:qFormat/>
    <w:rsid w:val="009d0d06"/>
    <w:rPr>
      <w:b/>
      <w:bCs/>
    </w:rPr>
  </w:style>
  <w:style w:type="character" w:styleId="Mencinsinresolver1" w:customStyle="1">
    <w:name w:val="Mención sin resolver1"/>
    <w:basedOn w:val="DefaultParagraphFont"/>
    <w:uiPriority w:val="99"/>
    <w:semiHidden/>
    <w:unhideWhenUsed/>
    <w:qFormat/>
    <w:rsid w:val="009d0d0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Footnote">
    <w:name w:val="Footnote Text"/>
    <w:basedOn w:val="Normal"/>
    <w:link w:val="TextonotapieCar"/>
    <w:uiPriority w:val="99"/>
    <w:unhideWhenUsed/>
    <w:rsid w:val="009d0d06"/>
    <w:pPr>
      <w:spacing w:lineRule="auto" w:line="240" w:before="0" w:after="0"/>
    </w:pPr>
    <w:rPr>
      <w:sz w:val="20"/>
      <w:szCs w:val="20"/>
    </w:rPr>
  </w:style>
  <w:style w:type="paragraph" w:styleId="ListParagraph">
    <w:name w:val="List Paragraph"/>
    <w:basedOn w:val="Normal"/>
    <w:uiPriority w:val="34"/>
    <w:qFormat/>
    <w:rsid w:val="009d0d06"/>
    <w:pPr>
      <w:ind w:left="708" w:hanging="0"/>
    </w:pPr>
    <w:rPr/>
  </w:style>
  <w:style w:type="paragraph" w:styleId="BalloonText">
    <w:name w:val="Balloon Text"/>
    <w:basedOn w:val="Normal"/>
    <w:link w:val="TextodegloboCar"/>
    <w:uiPriority w:val="99"/>
    <w:semiHidden/>
    <w:unhideWhenUsed/>
    <w:qFormat/>
    <w:rsid w:val="009d0d06"/>
    <w:pPr>
      <w:spacing w:lineRule="auto" w:line="240" w:before="0" w:after="0"/>
    </w:pPr>
    <w:rPr>
      <w:rFonts w:ascii="Tahoma" w:hAnsi="Tahoma" w:cs="Tahoma"/>
      <w:sz w:val="16"/>
      <w:szCs w:val="16"/>
    </w:rPr>
  </w:style>
  <w:style w:type="paragraph" w:styleId="BodyText2">
    <w:name w:val="Body Text 2"/>
    <w:basedOn w:val="Normal"/>
    <w:link w:val="Textoindependiente2Car"/>
    <w:uiPriority w:val="99"/>
    <w:qFormat/>
    <w:rsid w:val="009d0d06"/>
    <w:pPr>
      <w:spacing w:lineRule="auto" w:line="480" w:before="0" w:after="120"/>
    </w:pPr>
    <w:rPr/>
  </w:style>
  <w:style w:type="paragraph" w:styleId="Default" w:customStyle="1">
    <w:name w:val="Default"/>
    <w:qFormat/>
    <w:rsid w:val="009d0d06"/>
    <w:pPr>
      <w:widowControl/>
      <w:suppressAutoHyphens w:val="true"/>
      <w:bidi w:val="0"/>
      <w:spacing w:lineRule="auto" w:line="240" w:before="0" w:after="0"/>
      <w:jc w:val="left"/>
    </w:pPr>
    <w:rPr>
      <w:rFonts w:ascii="Georgia" w:hAnsi="Georgia" w:eastAsia="Calibri" w:cs="Georgia"/>
      <w:color w:val="000000"/>
      <w:kern w:val="0"/>
      <w:sz w:val="24"/>
      <w:szCs w:val="24"/>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Application>LibreOffice/7.3.7.2$Linux_X86_64 LibreOffice_project/30$Build-2</Application>
  <AppVersion>15.0000</AppVersion>
  <Pages>7</Pages>
  <Words>1023</Words>
  <Characters>6910</Characters>
  <CharactersWithSpaces>7770</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2024-05-21T13:37:00Z</dcterms:created>
  <dc:creator>Apoyo SGI-MIPG</dc:creator>
  <dc:description/>
  <dc:language>es-CO</dc:language>
  <cp:lastModifiedBy/>
  <dcterms:modified xsi:type="dcterms:W3CDTF">2024-07-04T10:23:19Z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