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2343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04 de Julio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2343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PEREZ  SERGIO  ANDRES OÑATE  PEREZ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1140869309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5 26 23, ABRIAQUÍ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33434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PEREZ  SERGIO  ANDRES OÑATE 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1140869309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E.S.E HOSPITAL LOCAL JUAN HERNANDO URREGO - AGUAZUL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59.736.600,00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IPS MIMEDIC SAS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200.000,00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59.936.600,00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PEREZ  SERGIO  ANDRES OÑATE 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1140869309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2343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PEREZ  SERGIO  ANDRES OÑATE 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1140869309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2023.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PEREZ  SERGIO  ANDRES OÑATE 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1140869309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