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tbl><w:tblPr><w:tblStyle w:val="Tablaconcuadrcula"/><w:tblpPr w:vertAnchor="text" w:horzAnchor="margin" w:tblpXSpec="right" w:leftFromText="141" w:rightFromText="141" w:tblpY="14"/><w:tblW w:w="2633" w:type="dxa"/><w:jc w:val="right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992"/><w:gridCol w:w="1640"/></w:tblGrid><w:tr><w:trPr></w:trPr><w:tc><w:tcPr><w:tcW w:w="992" w:type="dxa"/><w:tcBorders><w:top w:val="nil"/><w:left w:val="nil"/><w:bottom w:val="nil"/><w:right w:val="nil"/></w:tcBorders><w:vAlign w:val="center"/></w:tcPr><w:p><w:pPr><w:pStyle w:val="Normal"/><w:widowControl w:val="false"/><w:spacing w:lineRule="auto" w:line="240" w:before="0" w:after="0"/><w:jc w:val="right"/><w:rPr><w:rFonts w:ascii="Arial" w:hAnsi="Arial" w:cs="Arial"/></w:rPr></w:pPr><w:r><w:rPr><w:rFonts w:eastAsia="Calibri" w:cs="Arial" w:ascii="Arial" w:hAnsi="Arial"/><w:kern w:val="0"/><w:sz w:val="20"/><w:shd w:fill="FFFF00" w:val="clear"/><w:lang w:val="es-CO" w:bidi="ar-SA"/></w:rPr><w:t>FECHA</w:t></w:r><w:r><w:rPr><w:rFonts w:eastAsia="Calibri" w:cs="Arial" w:ascii="Arial" w:hAnsi="Arial"/><w:kern w:val="0"/><w:sz w:val="20"/><w:lang w:val="es-CO" w:bidi="ar-SA"/></w:rPr><w:t>:</w:t></w:r></w:p></w:tc><w:tc><w:tcPr><w:tcW w:w="1640" w:type="dxa"/><w:tcBorders><w:top w:val="nil"/><w:left w:val="nil"/><w:right w:val="nil"/></w:tcBorders><w:vAlign w:val="center"/></w:tcPr><w:p><w:pPr><w:pStyle w:val="Normal"/><w:widowControl w:val="false"/><w:spacing w:lineRule="auto" w:line="240" w:before="0" w:after="0"/><w:ind w:right="-135" w:hanging="0"/><w:jc w:val="left"/><w:rPr><w:rFonts w:ascii="Arial" w:hAnsi="Arial" w:cs="Arial"/></w:rPr></w:pPr><w:r><w:rPr><w:rFonts w:cs="Arial" w:ascii="Arial" w:hAnsi="Arial"/><w:sz w:val="20"/></w:rPr></w:r></w:p></w:tc></w:tr></w:tbl><w:p><w:pPr><w:pStyle w:val="Normal"/><w:spacing w:lineRule="auto" w:line="240" w:before="0" w:after="0"/><w:jc w:val="left"/><w:rPr><w:rFonts w:ascii="Arial" w:hAnsi="Arial" w:cs="Arial"/><w:b/><w:b/><w:sz w:val="20"/><w:szCs w:val="20"/></w:rPr></w:pPr><w:r></w:r><w:r><w:rPr><w:rFonts w:cs="Arial" w:ascii="Arial" w:hAnsi="Arial"/><w:b/><w:sz w:val="20"/><w:szCs w:val="20"/></w:rPr><w:t xml:space="preserve">No. </w:t></w:r><w:r><w:rPr><w:rFonts w:eastAsia="Calibri" w:cs="Arial" w:ascii="Arial" w:hAnsi="Arial"/><w:b/><w:bCs/><w:color w:val="000000"/><w:kern w:val="0"/><w:sz w:val="20"/><w:szCs w:val="20"/><w:shd w:fill="auto" w:val="clear"/><w:lang w:val="es-CO" w:eastAsia="en-US" w:bidi="ar-SA"/></w:rPr><w:t>EXP2025/COL/001245-DE</w:t></w:r></w:p><w:p><w:pPr><w:pStyle w:val="Normal"/><w:spacing w:lineRule="auto" w:line="240" w:before="0" w:after="0"/><w:jc w:val="left"/><w:rPr><w:rFonts w:ascii="Arial" w:hAnsi="Arial" w:cs="Arial"/><w:b/><w:b/><w:sz w:val="20"/><w:szCs w:val="20"/></w:rPr></w:pPr><w:r><w:rPr><w:rFonts w:cs="Arial" w:ascii="Arial" w:hAnsi="Arial"/><w:b/><w:sz w:val="20"/><w:szCs w:val="20"/><w:shd w:fill="auto" w:val="clear"/></w:rPr><w:t>FECHA: 24 de Abril de 2025</w:t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POR MEDIO DEL CUAL SE APERTURA UN EXPEDIENTE</w:t></w:r></w:p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ascii="AvenirNext LT Pro Regular" w:hAnsi="AvenirNext LT Pro Regular"/><w:sz w:val="20"/><w:szCs w:val="20"/></w:rPr></w:r></w:p><w:tbl><w:tblPr><w:tblStyle w:val="Tablaconcuadrcula"/><w:tblW w:w="8075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970"/><w:gridCol w:w="6104"/></w:tblGrid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Expediente No.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EXP2025/COL/001245-DE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Contribuyente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20"/><w:szCs w:val="20"/><w:shd w:fill="auto" w:val="clear"/><w:lang w:val="es-ES" w:bidi="ar-SA"/></w:rPr><w:t>INGENIERIA Y TELEMATICA G & C S A S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Identificación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800072172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Tributo: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IMPUESTO DE INDUSTRIA Y COMERCIO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Periodo gravable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2023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Dirección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Cs/><w:kern w:val="0"/><w:sz w:val="20"/><w:szCs w:val="20"/><w:shd w:fill="auto" w:val="clear"/><w:lang w:val="es-CO" w:bidi="ar-SA"/></w:rPr><w:t>Carrera x con calle x, AGUAZUL</w:t></w:r></w:p></w:tc></w:tr><w:tr><w:trPr></w:trPr><w:tc><w:tcPr><w:tcW w:w="1970" w:type="dxa"/><w:tcBorders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Teléfono:</w:t></w:r></w:p></w:tc><w:tc><w:tcPr><w:tcW w:w="6104" w:type="dxa"/><w:tcBorders><w:right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eastAsia="Calibri" w:cs="Arial"/><w:bCs/><w:color w:val="auto"/><w:kern w:val="0"/><w:sz w:val="20"/><w:szCs w:val="20"/><w:shd w:fill="auto" w:val="clear"/><w:lang w:val="es-CO" w:eastAsia="en-US" w:bidi="ar-SA"/></w:rPr></w:pPr><w:r><w:rPr><w:rFonts w:eastAsia="Calibri" w:cs="Arial" w:ascii="Arial" w:hAnsi="Arial"/><w:bCs/><w:color w:val="000000"/><w:kern w:val="0"/><w:sz w:val="20"/><w:szCs w:val="20"/><w:shd w:fill="auto" w:val="clear"/><w:lang w:val="es-CO" w:eastAsia="en-US" w:bidi="ar-SA"/></w:rPr><w:t>123456789</w:t></w:r></w:p></w:tc></w:tr><w:tr><w:trPr></w:trPr><w:tc><w:tcPr><w:tcW w:w="1970" w:type="dxa"/><w:tcBorders><w:bottom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cs="Arial"/><w:bCs/><w:sz w:val="20"/><w:szCs w:val="20"/></w:rPr></w:pPr><w:r><w:rPr><w:rFonts w:eastAsia="Calibri" w:cs="Arial" w:ascii="Arial" w:hAnsi="Arial"/><w:bCs/><w:kern w:val="0"/><w:sz w:val="20"/><w:szCs w:val="20"/><w:lang w:val="es-CO" w:bidi="ar-SA"/></w:rPr><w:t>Correo electrónico:</w:t></w:r></w:p></w:tc><w:tc><w:tcPr><w:tcW w:w="6104" w:type="dxa"/><w:tcBorders><w:bottom w:val="single" w:sz="12" w:space="0" w:color="000000"/><w:right w:val="single" w:sz="12" w:space="0" w:color="000000"/></w:tcBorders></w:tcPr><w:p><w:pPr><w:pStyle w:val="Normal"/><w:widowControl w:val="false"/><w:spacing w:lineRule="auto" w:line="240" w:before="0" w:after="0"/><w:jc w:val="both"/><w:rPr><w:rFonts w:ascii="Arial" w:hAnsi="Arial" w:eastAsia="Calibri" w:cs="Arial"/><w:bCs/><w:color w:val="auto"/><w:kern w:val="0"/><w:sz w:val="20"/><w:szCs w:val="20"/><w:shd w:fill="auto" w:val="clear"/><w:lang w:val="es-CO" w:eastAsia="en-US" w:bidi="ar-SA"/></w:rPr></w:pPr><w:r><w:rPr><w:rFonts w:eastAsia="Calibri" w:cs="Arial" w:ascii="Arial" w:hAnsi="Arial"/><w:bCs/><w:color w:val="000000"/><w:kern w:val="0"/><w:sz w:val="20"/><w:szCs w:val="20"/><w:shd w:fill="auto" w:val="clear"/><w:lang w:val="es-CO" w:eastAsia="en-US" w:bidi="ar-SA"/></w:rPr><w:t>correoprueba@gmail.com</w:t></w:r></w:p></w:tc></w:tr></w:tbl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ascii="AvenirNext LT Pro Regular" w:hAnsi="AvenirNext LT Pro Regular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w:t xml:space="preserve">La Secretaria de Hacienda del Municipio de Aguazul, en uso de las facultades legales y reglamentarias, y en especial las conferidas en los artículos 5, 348, 349, 352, y 376 del Estatuto de Rentas Municipal de Aguazul (Acuerdo 020 del 2016)  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CONSIDERANDO</w:t></w:r></w:p><w:p><w:pPr><w:pStyle w:val="Normal"/><w:spacing w:lineRule="auto" w:line="240" w:before="0" w:after="0"/><w:jc w:val="center"/><w:rPr><w:rFonts w:ascii="AvenirNext LT Pro Regular" w:hAnsi="AvenirNext LT Pro Regular"/><w:b/><w:b/><w:sz w:val="20"/><w:szCs w:val="20"/></w:rPr></w:pPr><w:r><w:rPr><w:rFonts w:ascii="AvenirNext LT Pro Regular" w:hAnsi="AvenirNext LT Pro Regular"/><w:b/><w:sz w:val="20"/><w:szCs w:val="20"/></w:rPr></w:r></w:p><w:p><w:pPr><w:pStyle w:val="Normal"/><w:spacing w:lineRule="auto" w:line="240" w:before="0" w:after="0"/><w:jc w:val="both"/><w:rPr></w:rPr></w:pPr><w:r><w:rPr><w:rFonts w:cs="Arial" w:ascii="Arial" w:hAnsi="Arial"/><w:sz w:val="20"/><w:szCs w:val="20"/></w:rPr><w:t>1. Que, el artículo 50 del Acuerdo Municipal No 020 de 2016 (Estatuto de Rentas del Municipio Aguazul),</w:t></w:r><w:r><w:rPr><w:sz w:val="20"/><w:szCs w:val="20"/></w:rPr><w:t xml:space="preserve"> </w:t></w:r><w:r><w:rPr><w:rFonts w:cs="Arial" w:ascii="Arial" w:hAnsi="Arial"/><w:sz w:val="20"/><w:szCs w:val="20"/></w:rPr><w:t xml:space="preserve">manifiesta que, </w:t></w:r><w:r><w:rPr></w:rPr><w:t>tod</w:t></w:r><w:r><w:rPr><w:shd w:fill="auto" w:val="clear"/></w:rPr><w:t>a persona natural o jurídica o la sociedad de hecho, que realice actividades industriales, comerciales, de servicios y financieras en la jurisdicción del Municipio de Aguazul, se determina como sujeto pasivo del impuesto de industria y comercio.</w:t></w:r></w:p><w:p><w:pPr><w:pStyle w:val="Normal"/><w:spacing w:lineRule="auto" w:line="240" w:before="0" w:after="0"/><w:jc w:val="both"/><w:rPr><w:highlight w:val="none"/><w:shd w:fill="auto" w:val="clear"/></w:rPr></w:pPr><w:r><w:rPr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 xml:space="preserve">2. Que, según el reporte de información exógena realizado por terceros, se logró establecer que el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sz w:val="20"/><w:szCs w:val="20"/><w:shd w:fill="auto" w:val="clear"/></w:rPr><w:t>, obtuvo ingresos por actividades gravadas con el impuesto de industria y comercio en el Municipio de Aguazul, durante el periodo gravable 2023.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tbl><w:tblPr><w:tblStyle w:val="Tablaconcuadrcula"/><w:tblW w:w="7935" w:type="dxa"/><w:jc w:val="center"/><w:tblInd w:w="0" w:type="dxa"/><w:tblLayout w:type="fixed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110"/><w:gridCol w:w="469"/><w:gridCol w:w="2356"/></w:tblGrid><w:tr><w:trPr><w:trHeight w:val="305" w:hRule="atLeast"/></w:trPr><w:tc><w:tcPr><w:tcW w:w="5110" w:type="dxa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ENTIDAD QUE REPORTA</w:t></w:r></w:p></w:tc><w:tc><w:tcPr><w:tcW w:w="2825" w:type="dxa"/><w:gridSpan w:val="2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PAGO O ABONO REALIZADO</w:t></w:r></w:p></w:tc></w:tr><w:tr><w:trPr></w:trPr><w:tc><w:tcPr><w:tcW w:w="5110" w:type="dxa"/><w:tcBorders></w:tcBorders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>TOTAL</w:t></w:r></w:p></w:tc><w:tc><w:tcPr><w:tcW w:w="469" w:type="dxa"/><w:tcBorders><w:right w:val="nil"/></w:tcBorders><w:tcMar><w:top w:w="55" w:type="dxa"/><w:bottom w:w="55" w:type="dxa"/></w:tcMar></w:tcPr><w:p><w:pPr><w:pStyle w:val="Normal"/><w:widowControl w:val="false"/><w:spacing w:lineRule="auto" w:line="240" w:before="0" w:after="0"/><w:jc w:val="both"/><w:rPr><w:highlight w:val="none"/><w:shd w:fill="auto" w:val="clear"/></w:rPr></w:pPr><w:r><w:rPr><w:rFonts w:eastAsia="Calibri" w:cs="Arial" w:ascii="Arial" w:hAnsi="Arial"/><w:b/><w:kern w:val="0"/><w:sz w:val="18"/><w:szCs w:val="18"/><w:shd w:fill="auto" w:val="clear"/><w:lang w:val="es-CO" w:bidi="ar-SA"/></w:rPr><w:t xml:space="preserve">  </w:t></w:r><w:r><w:rPr><w:rFonts w:eastAsia="Calibri" w:cs="Arial" w:ascii="Arial" w:hAnsi="Arial"/><w:b/><w:kern w:val="0"/><w:sz w:val="18"/><w:szCs w:val="18"/><w:shd w:fill="auto" w:val="clear"/><w:lang w:val="es-CO" w:bidi="ar-SA"/></w:rPr><w:t>$</w:t></w:r></w:p></w:tc><w:tc><w:tcPr><w:tcW w:w="2356" w:type="dxa"/><w:tcBorders><w:left w:val="nil"/></w:tcBorders><w:tcMar><w:top w:w="55" w:type="dxa"/><w:bottom w:w="55" w:type="dxa"/></w:tcMar></w:tcPr><w:p><w:pPr><w:pStyle w:val="Normal"/><w:widowControl w:val="false"/><w:spacing w:lineRule="auto" w:line="240" w:before="0" w:after="0"/><w:jc w:val="right"/><w:rPr><w:highlight w:val="none"/><w:shd w:fill="auto" w:val="clear"/></w:rPr></w:pPr><w:r><w:rPr><w:rFonts w:cs="Arial" w:ascii="Arial" w:hAnsi="Arial"/><w:b/><w:sz w:val="18"/><w:szCs w:val="18"/><w:shd w:fill="auto" w:val="clear"/></w:rPr><w:t>197.000,00</w:t></w:r></w:p></w:tc></w:tr></w:tbl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 xml:space="preserve">3.- Que, una vez revisados los sistemas informáticos de la Secretaría de Hacienda, se estableció que el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sz w:val="20"/><w:szCs w:val="20"/><w:shd w:fill="auto" w:val="clear"/></w:rPr><w:t>, omitió la presentación en el Municipio de Aguazul de la declaración del Impuesto de Industria y Comercio por el periodo gravable 2023.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sz w:val="20"/><w:szCs w:val="20"/><w:shd w:fill="auto" w:val="clear"/></w:rPr><w:t>Por lo anteriormente expuesto,</w:t></w:r></w:p><w:p><w:pPr><w:pStyle w:val="Normal"/><w:spacing w:lineRule="auto" w:line="240" w:before="0" w:after="0"/><w:jc w:val="both"/><w:rPr><w:rFonts w:ascii="Arial" w:hAnsi="Arial" w:cs="Arial"/><w:sz w:val="20"/><w:szCs w:val="20"/><w:highlight w:val="none"/><w:shd w:fill="auto" w:val="clear"/></w:rPr></w:pPr><w:r><w:rPr><w:rFonts w:cs="Arial" w:ascii="Arial" w:hAnsi="Arial"/><w:sz w:val="20"/><w:szCs w:val="20"/><w:shd w:fill="auto" w:val="clear"/></w:rPr></w:r></w:p><w:p><w:pPr><w:pStyle w:val="Normal"/><w:spacing w:lineRule="auto" w:line="240" w:before="0" w:after="0"/><w:jc w:val="center"/><w:rPr><w:highlight w:val="none"/><w:shd w:fill="auto" w:val="clear"/></w:rPr></w:pPr><w:r><w:rPr><w:rFonts w:cs="Arial" w:ascii="Arial" w:hAnsi="Arial"/><w:b/><w:sz w:val="20"/><w:szCs w:val="20"/><w:shd w:fill="auto" w:val="clear"/></w:rPr><w:t>DISPONE</w:t></w:r></w:p><w:p><w:pPr><w:pStyle w:val="Normal"/><w:spacing w:lineRule="auto" w:line="240" w:before="0" w:after="0"/><w:jc w:val="center"/><w:rPr><w:rFonts w:ascii="Arial" w:hAnsi="Arial" w:cs="Arial"/><w:b/><w:b/><w:sz w:val="20"/><w:szCs w:val="20"/><w:highlight w:val="none"/><w:shd w:fill="auto" w:val="clear"/></w:rPr></w:pPr><w:r><w:rPr><w:rFonts w:cs="Arial" w:ascii="Arial" w:hAnsi="Arial"/><w:b/><w:sz w:val="20"/><w:szCs w:val="20"/><w:shd w:fill="auto" w:val="clear"/></w:rPr></w:r></w:p><w:p><w:pPr><w:pStyle w:val="Normal"/><w:spacing w:lineRule="auto" w:line="240" w:before="0" w:after="0"/><w:jc w:val="both"/><w:rPr><w:highlight w:val="none"/><w:shd w:fill="auto" w:val="clear"/></w:rPr></w:pPr><w:r><w:rPr><w:rFonts w:cs="Arial" w:ascii="Arial" w:hAnsi="Arial"/><w:b/><w:sz w:val="20"/><w:szCs w:val="20"/><w:shd w:fill="auto" w:val="clear"/></w:rPr><w:t>PRIMERO</w:t></w:r><w:r><w:rPr><w:rFonts w:cs="Arial" w:ascii="Arial" w:hAnsi="Arial"/><w:sz w:val="20"/><w:szCs w:val="20"/><w:shd w:fill="auto" w:val="clear"/></w:rPr><w:t xml:space="preserve">: Aperturar el expediente No </w:t></w:r><w:r><w:rPr><w:rFonts w:eastAsia="Calibri" w:cs="Arial" w:ascii="Arial" w:hAnsi="Arial"/><w:b/><w:bCs/><w:kern w:val="0"/><w:sz w:val="20"/><w:szCs w:val="20"/><w:shd w:fill="auto" w:val="clear"/><w:lang w:val="es-CO" w:bidi="ar-SA"/></w:rPr><w:t>EXP2025/COL/001245-DE</w:t></w:r><w:r><w:rPr><w:rFonts w:cs="Arial" w:ascii="Arial" w:hAnsi="Arial"/><w:sz w:val="20"/><w:szCs w:val="20"/><w:shd w:fill="auto" w:val="clear"/></w:rPr><w:t xml:space="preserve"> al contribuyente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b/><w:sz w:val="20"/><w:szCs w:val="20"/><w:shd w:fill="auto" w:val="clear"/></w:rPr><w:t xml:space="preserve">, </w:t></w:r><w:r><w:rPr><w:rFonts w:cs="Arial" w:ascii="Arial" w:hAnsi="Arial"/><w:sz w:val="20"/><w:szCs w:val="20"/><w:shd w:fill="auto" w:val="clear"/></w:rPr><w:t xml:space="preserve">por la no presentación de la declaración del impuesto de industria y comercio del año 2023. 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b/><w:sz w:val="20"/><w:szCs w:val="20"/></w:rPr><w:t>SEGUNDO</w:t></w:r><w:r><w:rPr><w:rFonts w:cs="Arial" w:ascii="Arial" w:hAnsi="Arial"/><w:sz w:val="20"/><w:szCs w:val="20"/></w:rPr><w:t>: Alléguese al expediente, copia de los documentos que permitan soportar la realización de actividades gravadas con el impuesto de industria y comercio en el Municipio de Aguazul, por parte del contribuyent</w:t></w:r><w:r><w:rPr><w:rFonts w:cs="Arial" w:ascii="Arial" w:hAnsi="Arial"/><w:sz w:val="20"/><w:szCs w:val="20"/><w:shd w:fill="auto" w:val="clear"/></w:rPr><w:t xml:space="preserve">e </w:t></w:r><w:r><w:rPr><w:rFonts w:cs="Arial" w:ascii="Arial" w:hAnsi="Arial"/><w:b/><w:kern w:val="0"/><w:sz w:val="20"/><w:szCs w:val="20"/><w:shd w:fill="auto" w:val="clear"/><w:lang w:val="es-ES"/></w:rPr><w:t>INGENIERIA Y TELEMATICA G & C S A S</w:t></w:r><w:r><w:rPr><w:rFonts w:cs="Arial" w:ascii="Arial" w:hAnsi="Arial"/><w:sz w:val="20"/><w:szCs w:val="20"/><w:shd w:fill="auto" w:val="clear"/></w:rPr><w:t xml:space="preserve">, identificado con NIT </w:t></w:r><w:r><w:rPr><w:rFonts w:cs="Arial" w:ascii="Arial" w:hAnsi="Arial"/><w:b/><w:bCs/><w:sz w:val="20"/><w:szCs w:val="20"/><w:shd w:fill="auto" w:val="clear"/></w:rPr><w:t>800072172</w:t></w:r><w:r><w:rPr><w:rFonts w:cs="Arial" w:ascii="Arial" w:hAnsi="Arial"/><w:b/><w:sz w:val="20"/><w:szCs w:val="20"/><w:shd w:fill="auto" w:val="clear"/></w:rPr><w:t>.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venirNext LT Pro Regular" w:hAnsi="AvenirNext LT Pro Regular"/><w:sz w:val="20"/><w:szCs w:val="20"/></w:rPr></w:pPr><w:r><w:rPr><w:rFonts w:cs="Arial" w:ascii="Arial" w:hAnsi="Arial"/><w:b/><w:sz w:val="20"/><w:szCs w:val="20"/></w:rPr><w:t xml:space="preserve">TERCERO: </w:t></w:r><w:r><w:rPr><w:rFonts w:cs="Arial" w:ascii="Arial" w:hAnsi="Arial"/><w:sz w:val="20"/><w:szCs w:val="20"/></w:rPr><w:t>Practíquense las diligencias y pruebas pertinentes de los actos administrativos a que haya lugar</w:t></w:r></w:p><w:p><w:pPr><w:pStyle w:val="Normal"/><w:spacing w:lineRule="auto" w:line="240" w:before="0" w:after="0"/><w:jc w:val="center"/><w:rPr><w:rFonts w:ascii="AvenirNext LT Pro Regular" w:hAnsi="AvenirNext LT Pro Regular"/><w:b/><w:b/><w:sz w:val="20"/><w:szCs w:val="20"/></w:rPr></w:pPr><w:r><w:rPr><w:rFonts w:ascii="AvenirNext LT Pro Regular" w:hAnsi="AvenirNext LT Pro Regular"/><w:b/><w:sz w:val="20"/><w:szCs w:val="20"/></w:rPr></w:r></w:p><w:p><w:pPr><w:pStyle w:val="Normal"/><w:tabs><w:tab w:val="clear" w:pos="708"/><w:tab w:val="left" w:pos="615" w:leader="none"/><w:tab w:val="center" w:pos="4986" w:leader="none"/></w:tabs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CÚMPLASE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/w:r></w:p><w:p><w:pPr><w:pStyle w:val="Normal"/><w:spacing w:lineRule="auto" w:line="240" w:before="0" w:after="0"/><w:jc w:val="center"/><w:rPr><w:rFonts w:ascii="Arial" w:hAnsi="Arial" w:cs="Arial"/><w:b/><w:b/><w:sz w:val="20"/><w:szCs w:val="20"/></w:rPr></w:pPr><w:r><w:rPr><w:rFonts w:cs="Arial" w:ascii="Arial" w:hAnsi="Arial"/><w:b/><w:sz w:val="20"/><w:szCs w:val="20"/></w:rPr><w:t>YENNY CAROLINA CARDENAS GARCIA</w:t></w:r></w:p><w:p><w:pPr><w:pStyle w:val="Normal"/><w:spacing w:lineRule="auto" w:line="240" w:before="0" w:after="0"/><w:jc w:val="center"/><w:rPr><w:rFonts w:ascii="Arial" w:hAnsi="Arial" w:cs="Arial"/><w:sz w:val="20"/><w:szCs w:val="20"/></w:rPr></w:pPr><w:r><w:rPr><w:rFonts w:cs="Arial" w:ascii="Arial" w:hAnsi="Arial"/><w:sz w:val="20"/><w:szCs w:val="20"/></w:rPr><w:t>Secretaría de Hacienda Municipal</w:t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20"/><w:szCs w:val="20"/></w:rPr></w:pPr><w:r><w:rPr><w:rFonts w:cs="Arial" w:ascii="Arial" w:hAnsi="Arial"/><w:sz w:val="20"/><w:szCs w:val="20"/></w:rPr></w:r></w:p><w:p><w:pPr><w:pStyle w:val="Normal"/><w:spacing w:lineRule="auto" w:line="240" w:before="0" w:after="0"/><w:jc w:val="both"/><w:rPr><w:rFonts w:ascii="Arial" w:hAnsi="Arial" w:cs="Arial"/><w:sz w:val="16"/><w:szCs w:val="16"/></w:rPr></w:pPr><w:r><w:rPr><w:rFonts w:cs="Arial" w:ascii="Arial" w:hAnsi="Arial"/><w:sz w:val="16"/><w:szCs w:val="16"/></w:rPr><w:t xml:space="preserve">Elaboró y Aprobó: </w:t></w:r><w:r><w:rPr><w:rFonts w:cs="Arial" w:ascii="Arial" w:hAnsi="Arial"/><w:b/><w:sz w:val="16"/><w:szCs w:val="16"/></w:rPr><w:t>Nury Esmeralda Rodríguez Buitrago</w:t></w:r><w:r><w:rPr><w:rFonts w:cs="Arial" w:ascii="Arial" w:hAnsi="Arial"/><w:sz w:val="16"/><w:szCs w:val="16"/></w:rPr><w:t xml:space="preserve"> </w:t><w:tab/><w:tab/><w:t xml:space="preserve">     Apoyo en la elaboración: </w:t></w:r><w:r><w:rPr><w:rFonts w:cs="Arial" w:ascii="Arial" w:hAnsi="Arial"/><w:b/><w:sz w:val="16"/><w:szCs w:val="16"/></w:rPr><w:t>Sergio Luis Chavarría Montoya</w:t></w:r></w:p><w:p><w:pPr><w:pStyle w:val="Normal"/><w:rPr><w:rFonts w:ascii="Arial" w:hAnsi="Arial" w:cs="Arial"/><w:sz w:val="16"/><w:szCs w:val="16"/></w:rPr></w:pPr><w:r><w:rPr><w:rFonts w:cs="Arial" w:ascii="Arial" w:hAnsi="Arial"/><w:sz w:val="16"/><w:szCs w:val="16"/></w:rPr><w:t>Profesional Universitario de Rentas                                                            Profesional Contratado Secretaría de Hacienda</w:t></w:r></w:p><w:p><w:pPr><w:pStyle w:val="Normal"/><w:spacing w:lineRule="auto" w:line="240" w:before="0" w:after="0"/><w:jc w:val="both"/><w:rPr><w:rFonts w:ascii="Arial" w:hAnsi="Arial" w:cs="Arial"/><w:sz w:val="16"/><w:szCs w:val="16"/></w:rPr></w:pPr><w:bookmarkStart w:id="0" w:name="_GoBack"/><w:bookmarkEnd w:id="0"/><w:r><w:rPr><w:rFonts w:cs="Arial" w:ascii="Arial" w:hAnsi="Arial"/><w:sz w:val="16"/><w:szCs w:val="16"/></w:rPr><w:t>Proyectó: SISTEMA SISTEMA</w:t></w:r></w:p><w:p><w:pPr><w:pStyle w:val="Normal"/><w:spacing w:lineRule="auto" w:line="240" w:before="0" w:after="200"/><w:rPr><w:rFonts w:ascii="Arial" w:hAnsi="Arial" w:cs="Arial"/></w:rPr></w:pPr><w:r><w:rPr></w:rPr></w:r></w:p><w:sectPr><w:headerReference w:type="default" r:id="rId2"/><w:footerReference w:type="default" r:id="rId3"/><w:type w:val="nextPage"/><w:pgSz w:w="12240" w:h="15840"/><w:pgMar w:left="1440" w:right="1440" w:gutter="0" w:header="709" w:top="1758" w:footer="279" w:bottom="1440"/><w:pgNumType w:fmt="decimal"/><w:formProt w:val="false"/><w:textDirection w:val="lrTb"/><w:docGrid w:type="default" w:linePitch="36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